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ED2BC" w14:textId="77777777" w:rsidR="00AD21A1" w:rsidRDefault="00AD21A1">
      <w:pPr>
        <w:pStyle w:val="Heading2"/>
        <w:rPr>
          <w:rFonts w:ascii="Calibri" w:eastAsia="Times New Roman" w:hAnsi="Calibri" w:cs="Calibri"/>
          <w:sz w:val="36"/>
          <w:szCs w:val="36"/>
        </w:rPr>
      </w:pPr>
      <w:r>
        <w:rPr>
          <w:rFonts w:ascii="Calibri" w:eastAsia="Times New Roman" w:hAnsi="Calibri" w:cs="Calibri"/>
        </w:rPr>
        <w:t>Job Code: RM01146</w:t>
      </w:r>
    </w:p>
    <w:p w14:paraId="74C75A9F" w14:textId="77777777" w:rsidR="00AD21A1" w:rsidRDefault="00AD21A1">
      <w:pPr>
        <w:pStyle w:val="Heading2"/>
        <w:divId w:val="1709716553"/>
        <w:rPr>
          <w:rFonts w:ascii="Calibri" w:eastAsia="Times New Roman" w:hAnsi="Calibri" w:cs="Calibri"/>
          <w:color w:val="000000"/>
        </w:rPr>
      </w:pPr>
      <w:r>
        <w:rPr>
          <w:rFonts w:ascii="Calibri" w:eastAsia="Times New Roman" w:hAnsi="Calibri" w:cs="Calibri"/>
          <w:color w:val="000000"/>
        </w:rPr>
        <w:t>Role Purpose</w:t>
      </w:r>
    </w:p>
    <w:p w14:paraId="1EEC8E5C" w14:textId="77777777" w:rsidR="00AD21A1" w:rsidRDefault="00AD21A1">
      <w:pPr>
        <w:spacing w:after="0"/>
        <w:divId w:val="407583923"/>
        <w:rPr>
          <w:rFonts w:ascii="Calibri" w:eastAsia="Times New Roman" w:hAnsi="Calibri" w:cs="Calibri"/>
          <w:color w:val="000000"/>
        </w:rPr>
      </w:pPr>
      <w:r>
        <w:rPr>
          <w:rFonts w:ascii="Calibri" w:eastAsia="Times New Roman" w:hAnsi="Calibri" w:cs="Calibri"/>
          <w:color w:val="000000"/>
        </w:rPr>
        <w:t>The role holder provides expert valuation, viability and appraisal support to ensure the Agency makes commercially sound, value</w:t>
      </w:r>
      <w:r>
        <w:rPr>
          <w:rFonts w:ascii="Calibri" w:eastAsia="Times New Roman" w:hAnsi="Calibri" w:cs="Calibri"/>
          <w:color w:val="000000"/>
        </w:rPr>
        <w:noBreakHyphen/>
        <w:t>for</w:t>
      </w:r>
      <w:r>
        <w:rPr>
          <w:rFonts w:ascii="Calibri" w:eastAsia="Times New Roman" w:hAnsi="Calibri" w:cs="Calibri"/>
          <w:color w:val="000000"/>
        </w:rPr>
        <w:noBreakHyphen/>
        <w:t>money decisions that accelerate the delivery of quality homes. </w:t>
      </w:r>
    </w:p>
    <w:p w14:paraId="741E17FD" w14:textId="77777777" w:rsidR="00AD21A1" w:rsidRDefault="00AD21A1">
      <w:pPr>
        <w:spacing w:after="0"/>
        <w:divId w:val="951666068"/>
        <w:rPr>
          <w:rFonts w:ascii="Calibri" w:eastAsia="Times New Roman" w:hAnsi="Calibri" w:cs="Calibri"/>
          <w:color w:val="000000"/>
        </w:rPr>
      </w:pPr>
      <w:r>
        <w:rPr>
          <w:rFonts w:ascii="Calibri" w:eastAsia="Times New Roman" w:hAnsi="Calibri" w:cs="Calibri"/>
          <w:color w:val="000000"/>
        </w:rPr>
        <w:t> </w:t>
      </w:r>
    </w:p>
    <w:p w14:paraId="418B4A6F" w14:textId="77777777" w:rsidR="00AD21A1" w:rsidRDefault="00AD21A1">
      <w:pPr>
        <w:spacing w:after="0"/>
        <w:divId w:val="1438673125"/>
        <w:rPr>
          <w:rFonts w:ascii="Calibri" w:eastAsia="Times New Roman" w:hAnsi="Calibri" w:cs="Calibri"/>
          <w:color w:val="000000"/>
        </w:rPr>
      </w:pPr>
      <w:r>
        <w:rPr>
          <w:rFonts w:ascii="Calibri" w:eastAsia="Times New Roman" w:hAnsi="Calibri" w:cs="Calibri"/>
          <w:color w:val="000000"/>
        </w:rPr>
        <w:t>The role strengthens the Agency’s Single Pipeline by delivering robust development valuations, land asset valuation oversight, and high</w:t>
      </w:r>
      <w:r>
        <w:rPr>
          <w:rFonts w:ascii="Calibri" w:eastAsia="Times New Roman" w:hAnsi="Calibri" w:cs="Calibri"/>
          <w:color w:val="000000"/>
        </w:rPr>
        <w:noBreakHyphen/>
        <w:t>quality technical advice. It contributes to improved investment decisions, effective management of the land portfolio, and the development of consistent appraisal tools and guidance.</w:t>
      </w:r>
    </w:p>
    <w:p w14:paraId="17B3522D" w14:textId="77777777" w:rsidR="00AD21A1" w:rsidRDefault="00AD21A1">
      <w:pPr>
        <w:spacing w:after="0"/>
        <w:divId w:val="789667593"/>
        <w:rPr>
          <w:rFonts w:ascii="Calibri" w:eastAsia="Times New Roman" w:hAnsi="Calibri" w:cs="Calibri"/>
          <w:color w:val="000000"/>
        </w:rPr>
      </w:pPr>
      <w:r>
        <w:rPr>
          <w:rFonts w:ascii="Calibri" w:eastAsia="Times New Roman" w:hAnsi="Calibri" w:cs="Calibri"/>
          <w:color w:val="000000"/>
        </w:rPr>
        <w:t> </w:t>
      </w:r>
    </w:p>
    <w:p w14:paraId="5564579F" w14:textId="77777777" w:rsidR="00AD21A1" w:rsidRDefault="00AD21A1">
      <w:pPr>
        <w:spacing w:after="0"/>
        <w:divId w:val="1937861354"/>
        <w:rPr>
          <w:rFonts w:ascii="Calibri" w:eastAsia="Times New Roman" w:hAnsi="Calibri" w:cs="Calibri"/>
          <w:color w:val="000000"/>
        </w:rPr>
      </w:pPr>
      <w:r>
        <w:rPr>
          <w:rFonts w:ascii="Calibri" w:eastAsia="Times New Roman" w:hAnsi="Calibri" w:cs="Calibri"/>
          <w:color w:val="000000"/>
        </w:rPr>
        <w:t>The role also supports professional standards across the organisation by coordinating surveying activity and promoting best practice.</w:t>
      </w:r>
    </w:p>
    <w:p w14:paraId="05824F59" w14:textId="77777777" w:rsidR="00AD21A1" w:rsidRDefault="00AD21A1">
      <w:pPr>
        <w:spacing w:after="0"/>
        <w:divId w:val="979115072"/>
        <w:rPr>
          <w:rFonts w:ascii="Calibri" w:eastAsia="Times New Roman" w:hAnsi="Calibri" w:cs="Calibri"/>
          <w:color w:val="000000"/>
        </w:rPr>
      </w:pPr>
      <w:r>
        <w:rPr>
          <w:rFonts w:ascii="Calibri" w:eastAsia="Times New Roman" w:hAnsi="Calibri" w:cs="Calibri"/>
          <w:color w:val="000000"/>
        </w:rPr>
        <w:t> </w:t>
      </w:r>
    </w:p>
    <w:p w14:paraId="732AC1FA" w14:textId="77777777" w:rsidR="00AD21A1" w:rsidRDefault="00AD21A1">
      <w:pPr>
        <w:spacing w:after="0"/>
        <w:divId w:val="1102185311"/>
        <w:rPr>
          <w:rFonts w:ascii="Calibri" w:eastAsia="Times New Roman" w:hAnsi="Calibri" w:cs="Calibri"/>
          <w:color w:val="000000"/>
        </w:rPr>
      </w:pPr>
      <w:r>
        <w:rPr>
          <w:rFonts w:ascii="Calibri" w:eastAsia="Times New Roman" w:hAnsi="Calibri" w:cs="Calibri"/>
          <w:color w:val="000000"/>
        </w:rPr>
        <w:t>The role consistently demonstrates and embeds the values and behaviours in daily work, contributing to a positive and inclusive culture.</w:t>
      </w:r>
    </w:p>
    <w:p w14:paraId="4A6079F3" w14:textId="77777777" w:rsidR="00AD21A1" w:rsidRDefault="00AD21A1">
      <w:pPr>
        <w:pStyle w:val="Heading2"/>
        <w:rPr>
          <w:rFonts w:ascii="Calibri" w:eastAsia="Times New Roman" w:hAnsi="Calibri" w:cs="Calibri"/>
        </w:rPr>
      </w:pPr>
      <w:r>
        <w:rPr>
          <w:rFonts w:ascii="Calibri" w:eastAsia="Times New Roman" w:hAnsi="Calibri" w:cs="Calibri"/>
        </w:rPr>
        <w:t>Responsibilities</w:t>
      </w:r>
    </w:p>
    <w:p w14:paraId="723328EE"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provision of valuation and viability advice to ensure strategic housing delivery aligns with the Agency’s objectives.</w:t>
      </w:r>
    </w:p>
    <w:p w14:paraId="2FB62182"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and maintain appraisal tools and guidance, ensuring consistency, quality and compliance with evolving standards.</w:t>
      </w:r>
    </w:p>
    <w:p w14:paraId="79303331"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surveying profession within the Agency, promoting ethical standards and continuous professional development.</w:t>
      </w:r>
    </w:p>
    <w:p w14:paraId="4928DD21"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Evaluate new housing opportunities and fiscal events, providing expert analysis to ensure value for money and strategic fit.</w:t>
      </w:r>
    </w:p>
    <w:p w14:paraId="3FB81E6B"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Conduct and review Red Book valuations and development appraisals, identifying risks and opportunities throughout the project lifecycle.</w:t>
      </w:r>
    </w:p>
    <w:p w14:paraId="1573CA23"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Drive continuous improvement in land asset valuation processes, ensuring timely, accurate and high-quality outputs.</w:t>
      </w:r>
    </w:p>
    <w:p w14:paraId="161E5D56"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technical input into policy development and strategic decision-making, influencing housing market interventions.</w:t>
      </w:r>
    </w:p>
    <w:p w14:paraId="25EF5DB2"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across internal teams and external stakeholders to support housing delivery and resolve complex delivery issues.</w:t>
      </w:r>
    </w:p>
    <w:p w14:paraId="6AEA4B01"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Present valuation and appraisal insights to senior decision-makers, contributing to board papers and strategic briefings.</w:t>
      </w:r>
    </w:p>
    <w:p w14:paraId="394C614C" w14:textId="77777777" w:rsidR="00AD21A1" w:rsidRDefault="00AD21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Facilitate relationships across the surveying network, sharing best practice and strengthening sector resilience.</w:t>
      </w:r>
    </w:p>
    <w:p w14:paraId="423D64DF" w14:textId="77777777" w:rsidR="00AD21A1" w:rsidRDefault="00AD21A1">
      <w:pPr>
        <w:pStyle w:val="Heading2"/>
        <w:rPr>
          <w:rFonts w:ascii="Calibri" w:eastAsia="Times New Roman" w:hAnsi="Calibri" w:cs="Calibri"/>
        </w:rPr>
      </w:pPr>
      <w:r>
        <w:rPr>
          <w:rFonts w:ascii="Calibri" w:eastAsia="Times New Roman" w:hAnsi="Calibri" w:cs="Calibri"/>
        </w:rPr>
        <w:t>Additional information</w:t>
      </w:r>
    </w:p>
    <w:p w14:paraId="485384B2" w14:textId="77777777" w:rsidR="00AD21A1" w:rsidRDefault="00AD21A1">
      <w:pPr>
        <w:pStyle w:val="Heading3"/>
        <w:rPr>
          <w:rFonts w:ascii="Calibri" w:eastAsia="Times New Roman" w:hAnsi="Calibri" w:cs="Calibri"/>
        </w:rPr>
      </w:pPr>
      <w:r>
        <w:rPr>
          <w:rFonts w:ascii="Calibri" w:eastAsia="Times New Roman" w:hAnsi="Calibri" w:cs="Calibri"/>
        </w:rPr>
        <w:t>Qualifications, knowledge and experience</w:t>
      </w:r>
    </w:p>
    <w:p w14:paraId="471677A8"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t>Degree-level qualification and Member of the Royal Institution of Chartered Surveyors (RICS).</w:t>
      </w:r>
    </w:p>
    <w:p w14:paraId="43F93D73"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t>Eligible to become a RICS Registered Valuer.</w:t>
      </w:r>
    </w:p>
    <w:p w14:paraId="4BB74150"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t>Knowledge of RICS Red Book standards and their application.</w:t>
      </w:r>
    </w:p>
    <w:p w14:paraId="5051806A"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t>Knowledge of the full development lifecycle, including disposal and monitoring strategies.</w:t>
      </w:r>
    </w:p>
    <w:p w14:paraId="61B840FE"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t>Knowledge of housing markets, particularly residential, and public sector regulatory frameworks.</w:t>
      </w:r>
    </w:p>
    <w:p w14:paraId="74A22BFC"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lastRenderedPageBreak/>
        <w:t>Experience in development appraisals, viability analysis and valuation risk management.</w:t>
      </w:r>
    </w:p>
    <w:p w14:paraId="0C7E48FA"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t>Experience in both public and private sector property development contexts.</w:t>
      </w:r>
    </w:p>
    <w:p w14:paraId="63C25DFC" w14:textId="77777777" w:rsidR="00AD21A1" w:rsidRDefault="00AD21A1">
      <w:pPr>
        <w:numPr>
          <w:ilvl w:val="0"/>
          <w:numId w:val="2"/>
        </w:numPr>
        <w:spacing w:before="100" w:beforeAutospacing="1" w:after="100" w:afterAutospacing="1"/>
        <w:divId w:val="1198274781"/>
        <w:rPr>
          <w:rFonts w:ascii="Calibri" w:eastAsia="Times New Roman" w:hAnsi="Calibri" w:cs="Calibri"/>
        </w:rPr>
      </w:pPr>
      <w:r>
        <w:rPr>
          <w:rFonts w:ascii="Calibri" w:eastAsia="Times New Roman" w:hAnsi="Calibri" w:cs="Calibri"/>
        </w:rPr>
        <w:t>Experience producing briefings and communicating complex valuation issues to diverse audiences.</w:t>
      </w:r>
    </w:p>
    <w:p w14:paraId="329C6B1C" w14:textId="77777777" w:rsidR="00AD21A1" w:rsidRDefault="00AD21A1">
      <w:pPr>
        <w:pStyle w:val="Heading2"/>
        <w:divId w:val="1012101797"/>
        <w:rPr>
          <w:rFonts w:ascii="Calibri" w:eastAsia="Times New Roman" w:hAnsi="Calibri" w:cs="Calibri"/>
          <w:sz w:val="36"/>
          <w:szCs w:val="36"/>
        </w:rPr>
      </w:pPr>
      <w:r>
        <w:rPr>
          <w:rFonts w:ascii="Calibri" w:eastAsia="Times New Roman" w:hAnsi="Calibri" w:cs="Calibri"/>
        </w:rPr>
        <w:t>Job Function / Family</w:t>
      </w:r>
    </w:p>
    <w:p w14:paraId="35C5CD7D" w14:textId="77777777" w:rsidR="00AD21A1" w:rsidRDefault="00AD21A1">
      <w:pPr>
        <w:divId w:val="1012101797"/>
        <w:rPr>
          <w:rFonts w:ascii="Calibri" w:eastAsiaTheme="minorEastAsia" w:hAnsi="Calibri" w:cs="Calibri"/>
        </w:rPr>
      </w:pPr>
      <w:r>
        <w:rPr>
          <w:rFonts w:ascii="Calibri" w:hAnsi="Calibri" w:cs="Calibri"/>
          <w:b/>
          <w:bCs/>
        </w:rPr>
        <w:t xml:space="preserve">Technical Specialisms &amp; </w:t>
      </w:r>
      <w:proofErr w:type="gramStart"/>
      <w:r>
        <w:rPr>
          <w:rFonts w:ascii="Calibri" w:hAnsi="Calibri" w:cs="Calibri"/>
          <w:b/>
          <w:bCs/>
        </w:rPr>
        <w:t>Assurance</w:t>
      </w:r>
      <w:r>
        <w:rPr>
          <w:rFonts w:ascii="Calibri" w:hAnsi="Calibri" w:cs="Calibri"/>
        </w:rPr>
        <w:t xml:space="preserve"> :</w:t>
      </w:r>
      <w:proofErr w:type="gramEnd"/>
      <w:r>
        <w:rPr>
          <w:rFonts w:ascii="Calibri" w:hAnsi="Calibri" w:cs="Calibri"/>
        </w:rPr>
        <w:t xml:space="preserve"> Our job family covers a variety of property technical roles across planning and development, residential, rural and environmental management and Health and Safety using broad and current knowledge of the property market relevant to the role remit. We consult with appropriate specialists where needed to ensure sustainable practices are in the design of new developments. Formal qualifications could include RICS, RTPI, CIOB, RIBA, CIH. </w:t>
      </w:r>
    </w:p>
    <w:p w14:paraId="006916B8" w14:textId="77777777" w:rsidR="00AD21A1" w:rsidRDefault="00AD21A1">
      <w:pPr>
        <w:pStyle w:val="Heading2"/>
        <w:divId w:val="1012101797"/>
        <w:rPr>
          <w:rFonts w:ascii="Calibri" w:eastAsia="Times New Roman" w:hAnsi="Calibri" w:cs="Calibri"/>
        </w:rPr>
      </w:pPr>
      <w:r>
        <w:rPr>
          <w:rFonts w:ascii="Calibri" w:eastAsia="Times New Roman" w:hAnsi="Calibri" w:cs="Calibri"/>
        </w:rPr>
        <w:t>Role Classification</w:t>
      </w:r>
    </w:p>
    <w:p w14:paraId="5A99504F" w14:textId="77777777" w:rsidR="00AD21A1" w:rsidRDefault="00AD21A1">
      <w:pPr>
        <w:divId w:val="1012101797"/>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16</w:t>
      </w:r>
      <w:r>
        <w:rPr>
          <w:rFonts w:ascii="Calibri" w:hAnsi="Calibri" w:cs="Calibri"/>
        </w:rPr>
        <w:t xml:space="preserve"> </w:t>
      </w:r>
    </w:p>
    <w:p w14:paraId="46AABAC5" w14:textId="77777777" w:rsidR="00AD21A1" w:rsidRDefault="00AD21A1">
      <w:pPr>
        <w:divId w:val="1012101797"/>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1ECBF827" w14:textId="77777777" w:rsidR="00AD21A1" w:rsidRDefault="00AD21A1">
      <w:pPr>
        <w:spacing w:after="0"/>
        <w:divId w:val="1922985029"/>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AC4A8E" w14:paraId="2B214129" w14:textId="77777777">
        <w:trPr>
          <w:divId w:val="1922985029"/>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AC4A8E" w14:paraId="20D0C0F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C4A8E" w14:paraId="7E8819B0" w14:textId="77777777">
                    <w:tc>
                      <w:tcPr>
                        <w:tcW w:w="0" w:type="auto"/>
                        <w:vAlign w:val="center"/>
                        <w:hideMark/>
                      </w:tcPr>
                      <w:p w14:paraId="11FBA8D1" w14:textId="77777777" w:rsidR="00AD21A1" w:rsidRDefault="00AD21A1">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464E64E1" w14:textId="77777777" w:rsidR="00AD21A1" w:rsidRDefault="00AD21A1">
                  <w:pPr>
                    <w:pStyle w:val="legend-table"/>
                    <w:rPr>
                      <w:rFonts w:ascii="Calibri" w:eastAsia="Times New Roman" w:hAnsi="Calibri" w:cs="Calibri"/>
                    </w:rPr>
                  </w:pPr>
                </w:p>
              </w:tc>
              <w:tc>
                <w:tcPr>
                  <w:tcW w:w="0" w:type="auto"/>
                  <w:vAlign w:val="center"/>
                  <w:hideMark/>
                </w:tcPr>
                <w:p w14:paraId="4880F3F7" w14:textId="77777777" w:rsidR="00AD21A1" w:rsidRDefault="00AD21A1">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C4A8E" w14:paraId="4EC27D15" w14:textId="77777777">
                    <w:tc>
                      <w:tcPr>
                        <w:tcW w:w="0" w:type="auto"/>
                        <w:vAlign w:val="center"/>
                        <w:hideMark/>
                      </w:tcPr>
                      <w:p w14:paraId="161C179C" w14:textId="77777777" w:rsidR="00AD21A1" w:rsidRDefault="00AD21A1">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16457E6D" w14:textId="77777777" w:rsidR="00AD21A1" w:rsidRDefault="00AD21A1">
                  <w:pPr>
                    <w:pStyle w:val="legend-table"/>
                    <w:rPr>
                      <w:rFonts w:ascii="Calibri" w:eastAsia="Times New Roman" w:hAnsi="Calibri" w:cs="Calibri"/>
                    </w:rPr>
                  </w:pPr>
                </w:p>
              </w:tc>
              <w:tc>
                <w:tcPr>
                  <w:tcW w:w="0" w:type="auto"/>
                  <w:vAlign w:val="center"/>
                  <w:hideMark/>
                </w:tcPr>
                <w:p w14:paraId="030FCF61" w14:textId="77777777" w:rsidR="00AD21A1" w:rsidRDefault="00AD21A1">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C4A8E" w14:paraId="0065D15C" w14:textId="77777777">
                    <w:tc>
                      <w:tcPr>
                        <w:tcW w:w="0" w:type="auto"/>
                        <w:vAlign w:val="center"/>
                        <w:hideMark/>
                      </w:tcPr>
                      <w:p w14:paraId="10935D0F" w14:textId="77777777" w:rsidR="00AD21A1" w:rsidRDefault="00AD21A1">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5D1D76C9" w14:textId="77777777" w:rsidR="00AD21A1" w:rsidRDefault="00AD21A1">
                  <w:pPr>
                    <w:pStyle w:val="legend-table"/>
                    <w:rPr>
                      <w:rFonts w:ascii="Calibri" w:eastAsia="Times New Roman" w:hAnsi="Calibri" w:cs="Calibri"/>
                    </w:rPr>
                  </w:pPr>
                </w:p>
              </w:tc>
              <w:tc>
                <w:tcPr>
                  <w:tcW w:w="0" w:type="auto"/>
                  <w:vAlign w:val="center"/>
                  <w:hideMark/>
                </w:tcPr>
                <w:p w14:paraId="4E62D7FC" w14:textId="77777777" w:rsidR="00AD21A1" w:rsidRDefault="00AD21A1">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AC4A8E" w14:paraId="6C7BC723" w14:textId="77777777">
                    <w:tc>
                      <w:tcPr>
                        <w:tcW w:w="0" w:type="auto"/>
                        <w:vAlign w:val="center"/>
                        <w:hideMark/>
                      </w:tcPr>
                      <w:p w14:paraId="4104B40A" w14:textId="77777777" w:rsidR="00AD21A1" w:rsidRDefault="00AD21A1">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63936BF2" w14:textId="77777777" w:rsidR="00AD21A1" w:rsidRDefault="00AD21A1">
                  <w:pPr>
                    <w:pStyle w:val="legend-table"/>
                    <w:rPr>
                      <w:rFonts w:ascii="Calibri" w:eastAsia="Times New Roman" w:hAnsi="Calibri" w:cs="Calibri"/>
                    </w:rPr>
                  </w:pPr>
                </w:p>
              </w:tc>
              <w:tc>
                <w:tcPr>
                  <w:tcW w:w="0" w:type="auto"/>
                  <w:vAlign w:val="center"/>
                  <w:hideMark/>
                </w:tcPr>
                <w:p w14:paraId="29A101DA" w14:textId="77777777" w:rsidR="00AD21A1" w:rsidRDefault="00AD21A1">
                  <w:pPr>
                    <w:pStyle w:val="legend-table"/>
                    <w:rPr>
                      <w:rFonts w:ascii="Calibri" w:eastAsia="Times New Roman" w:hAnsi="Calibri" w:cs="Calibri"/>
                    </w:rPr>
                  </w:pPr>
                  <w:r>
                    <w:rPr>
                      <w:rFonts w:ascii="Calibri" w:eastAsia="Times New Roman" w:hAnsi="Calibri" w:cs="Calibri"/>
                    </w:rPr>
                    <w:t>Not assessable</w:t>
                  </w:r>
                </w:p>
              </w:tc>
            </w:tr>
          </w:tbl>
          <w:p w14:paraId="03889DFA" w14:textId="77777777" w:rsidR="00AD21A1" w:rsidRDefault="00AD21A1">
            <w:pPr>
              <w:spacing w:after="0"/>
              <w:rPr>
                <w:rFonts w:ascii="Calibri" w:hAnsi="Calibri" w:cs="Calibri"/>
              </w:rPr>
            </w:pPr>
          </w:p>
        </w:tc>
      </w:tr>
    </w:tbl>
    <w:p w14:paraId="35CD845B" w14:textId="77777777" w:rsidR="00AD21A1" w:rsidRDefault="00AD21A1">
      <w:pPr>
        <w:spacing w:after="0"/>
        <w:divId w:val="1922985029"/>
        <w:rPr>
          <w:rFonts w:eastAsia="Times New Roman"/>
        </w:rPr>
      </w:pPr>
    </w:p>
    <w:p w14:paraId="285B7552" w14:textId="77777777" w:rsidR="009678A9" w:rsidRDefault="009678A9">
      <w:r>
        <w:br w:type="page"/>
      </w:r>
    </w:p>
    <w:p w14:paraId="57B09198"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D7E97" w14:textId="77777777" w:rsidR="00557210" w:rsidRDefault="00557210" w:rsidP="0091124A">
      <w:pPr>
        <w:spacing w:after="0"/>
      </w:pPr>
      <w:r>
        <w:separator/>
      </w:r>
    </w:p>
  </w:endnote>
  <w:endnote w:type="continuationSeparator" w:id="0">
    <w:p w14:paraId="118BB90E" w14:textId="77777777" w:rsidR="00557210" w:rsidRDefault="00557210"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2B990" w14:textId="52129081" w:rsidR="002F3810" w:rsidRDefault="005D13E2">
    <w:pPr>
      <w:pStyle w:val="Footer"/>
    </w:pPr>
    <w:r>
      <w:rPr>
        <w:noProof/>
      </w:rPr>
      <mc:AlternateContent>
        <mc:Choice Requires="wps">
          <w:drawing>
            <wp:anchor distT="0" distB="0" distL="0" distR="0" simplePos="0" relativeHeight="251662336" behindDoc="0" locked="0" layoutInCell="1" allowOverlap="1" wp14:anchorId="2D3E7F01" wp14:editId="099DC599">
              <wp:simplePos x="635" y="635"/>
              <wp:positionH relativeFrom="page">
                <wp:align>center</wp:align>
              </wp:positionH>
              <wp:positionV relativeFrom="page">
                <wp:align>bottom</wp:align>
              </wp:positionV>
              <wp:extent cx="518795" cy="345440"/>
              <wp:effectExtent l="0" t="0" r="14605" b="0"/>
              <wp:wrapNone/>
              <wp:docPr id="169279710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6EF95EC" w14:textId="60578920"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3E7F01"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76EF95EC" w14:textId="60578920"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85151" w14:textId="77777777" w:rsidR="005D13E2" w:rsidRDefault="005D13E2">
    <w:pPr>
      <w:pStyle w:val="Footer"/>
      <w:jc w:val="center"/>
    </w:pPr>
    <w:r>
      <w:rPr>
        <w:noProof/>
      </w:rPr>
      <mc:AlternateContent>
        <mc:Choice Requires="wps">
          <w:drawing>
            <wp:anchor distT="0" distB="0" distL="0" distR="0" simplePos="0" relativeHeight="251663360" behindDoc="0" locked="0" layoutInCell="1" allowOverlap="1" wp14:anchorId="69A75651" wp14:editId="6379C09C">
              <wp:simplePos x="457200" y="9648825"/>
              <wp:positionH relativeFrom="page">
                <wp:align>center</wp:align>
              </wp:positionH>
              <wp:positionV relativeFrom="page">
                <wp:align>bottom</wp:align>
              </wp:positionV>
              <wp:extent cx="518795" cy="345440"/>
              <wp:effectExtent l="0" t="0" r="14605" b="0"/>
              <wp:wrapNone/>
              <wp:docPr id="119106110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C26A781" w14:textId="11F4C254"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9A75651"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1C26A781" w14:textId="11F4C254"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19FDC4E8" w14:textId="75CFC869"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3777CA07" w14:textId="2BCB9228"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271EDB">
          <w:rPr>
            <w:noProof/>
            <w:color w:val="A6A6A6" w:themeColor="background1" w:themeShade="A6"/>
            <w:sz w:val="16"/>
            <w:szCs w:val="16"/>
          </w:rPr>
          <w:t>2026</w:t>
        </w:r>
        <w:r>
          <w:rPr>
            <w:color w:val="A6A6A6" w:themeColor="background1" w:themeShade="A6"/>
            <w:sz w:val="16"/>
            <w:szCs w:val="16"/>
          </w:rPr>
          <w:fldChar w:fldCharType="end"/>
        </w:r>
      </w:p>
    </w:sdtContent>
  </w:sdt>
  <w:p w14:paraId="098E4EE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605CF" w14:textId="4D46EB9B" w:rsidR="002F3810" w:rsidRDefault="005D13E2">
    <w:pPr>
      <w:pStyle w:val="Footer"/>
    </w:pPr>
    <w:r>
      <w:rPr>
        <w:noProof/>
      </w:rPr>
      <mc:AlternateContent>
        <mc:Choice Requires="wps">
          <w:drawing>
            <wp:anchor distT="0" distB="0" distL="0" distR="0" simplePos="0" relativeHeight="251661312" behindDoc="0" locked="0" layoutInCell="1" allowOverlap="1" wp14:anchorId="34C981D6" wp14:editId="0FD6FF89">
              <wp:simplePos x="635" y="635"/>
              <wp:positionH relativeFrom="page">
                <wp:align>center</wp:align>
              </wp:positionH>
              <wp:positionV relativeFrom="page">
                <wp:align>bottom</wp:align>
              </wp:positionV>
              <wp:extent cx="518795" cy="345440"/>
              <wp:effectExtent l="0" t="0" r="14605" b="0"/>
              <wp:wrapNone/>
              <wp:docPr id="195620483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6D19315" w14:textId="61047F0B"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C981D6"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76D19315" w14:textId="61047F0B"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D107C" w14:textId="77777777" w:rsidR="00557210" w:rsidRDefault="00557210" w:rsidP="0091124A">
      <w:pPr>
        <w:spacing w:after="0"/>
      </w:pPr>
      <w:r>
        <w:separator/>
      </w:r>
    </w:p>
  </w:footnote>
  <w:footnote w:type="continuationSeparator" w:id="0">
    <w:p w14:paraId="27EEBA67" w14:textId="77777777" w:rsidR="00557210" w:rsidRDefault="00557210"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F371" w14:textId="2FB34EDF" w:rsidR="002F3810" w:rsidRDefault="005D13E2">
    <w:pPr>
      <w:pStyle w:val="Header"/>
    </w:pPr>
    <w:r>
      <w:rPr>
        <w:noProof/>
      </w:rPr>
      <mc:AlternateContent>
        <mc:Choice Requires="wps">
          <w:drawing>
            <wp:anchor distT="0" distB="0" distL="0" distR="0" simplePos="0" relativeHeight="251659264" behindDoc="0" locked="0" layoutInCell="1" allowOverlap="1" wp14:anchorId="0CE57BE9" wp14:editId="3332AA87">
              <wp:simplePos x="635" y="635"/>
              <wp:positionH relativeFrom="page">
                <wp:align>center</wp:align>
              </wp:positionH>
              <wp:positionV relativeFrom="page">
                <wp:align>top</wp:align>
              </wp:positionV>
              <wp:extent cx="518795" cy="345440"/>
              <wp:effectExtent l="0" t="0" r="14605" b="16510"/>
              <wp:wrapNone/>
              <wp:docPr id="48599355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F342E1D" w14:textId="0FD9FD48"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E57BE9"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7F342E1D" w14:textId="0FD9FD48"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2581B48" w14:textId="77777777" w:rsidTr="003F426E">
      <w:tc>
        <w:tcPr>
          <w:tcW w:w="2442" w:type="pct"/>
          <w:tcBorders>
            <w:bottom w:val="single" w:sz="4" w:space="0" w:color="auto"/>
          </w:tcBorders>
        </w:tcPr>
        <w:p w14:paraId="21E88E8A" w14:textId="4EE4B43D" w:rsidR="001A4FDD" w:rsidRPr="004D5782" w:rsidRDefault="005D13E2"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36E36FC9" wp14:editId="20190494">
                    <wp:simplePos x="523875" y="447675"/>
                    <wp:positionH relativeFrom="page">
                      <wp:align>center</wp:align>
                    </wp:positionH>
                    <wp:positionV relativeFrom="page">
                      <wp:align>top</wp:align>
                    </wp:positionV>
                    <wp:extent cx="518795" cy="345440"/>
                    <wp:effectExtent l="0" t="0" r="14605" b="16510"/>
                    <wp:wrapNone/>
                    <wp:docPr id="95295578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207CAE9" w14:textId="70001C97"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E36FC9"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3207CAE9" w14:textId="70001C97"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71B11521"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Valuation and Appraisals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31847A64"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0461FC1" wp14:editId="4D3D1278">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491B6189"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7B84F" w14:textId="46A57EF7" w:rsidR="002F3810" w:rsidRDefault="005D13E2">
    <w:pPr>
      <w:pStyle w:val="Header"/>
    </w:pPr>
    <w:r>
      <w:rPr>
        <w:noProof/>
      </w:rPr>
      <mc:AlternateContent>
        <mc:Choice Requires="wps">
          <w:drawing>
            <wp:anchor distT="0" distB="0" distL="0" distR="0" simplePos="0" relativeHeight="251658240" behindDoc="0" locked="0" layoutInCell="1" allowOverlap="1" wp14:anchorId="5604A00C" wp14:editId="2DB2345E">
              <wp:simplePos x="635" y="635"/>
              <wp:positionH relativeFrom="page">
                <wp:align>center</wp:align>
              </wp:positionH>
              <wp:positionV relativeFrom="page">
                <wp:align>top</wp:align>
              </wp:positionV>
              <wp:extent cx="518795" cy="345440"/>
              <wp:effectExtent l="0" t="0" r="14605" b="16510"/>
              <wp:wrapNone/>
              <wp:docPr id="183704268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261C3EC" w14:textId="6BA60C9F"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04A00C"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3261C3EC" w14:textId="6BA60C9F" w:rsidR="005D13E2" w:rsidRPr="005D13E2" w:rsidRDefault="005D13E2" w:rsidP="005D13E2">
                    <w:pPr>
                      <w:spacing w:after="0"/>
                      <w:rPr>
                        <w:rFonts w:ascii="Aptos" w:eastAsia="Aptos" w:hAnsi="Aptos" w:cs="Aptos"/>
                        <w:noProof/>
                        <w:color w:val="000000"/>
                        <w:sz w:val="20"/>
                        <w:szCs w:val="20"/>
                      </w:rPr>
                    </w:pPr>
                    <w:r w:rsidRPr="005D13E2">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E199B"/>
    <w:multiLevelType w:val="multilevel"/>
    <w:tmpl w:val="148E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7748F8"/>
    <w:multiLevelType w:val="multilevel"/>
    <w:tmpl w:val="399A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159171">
    <w:abstractNumId w:val="1"/>
  </w:num>
  <w:num w:numId="2" w16cid:durableId="1322080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1EDB"/>
    <w:rsid w:val="0027503F"/>
    <w:rsid w:val="002F3810"/>
    <w:rsid w:val="00335F4C"/>
    <w:rsid w:val="00372C10"/>
    <w:rsid w:val="00373D6A"/>
    <w:rsid w:val="003F09C7"/>
    <w:rsid w:val="003F426E"/>
    <w:rsid w:val="00483FF5"/>
    <w:rsid w:val="00491DDC"/>
    <w:rsid w:val="004D5782"/>
    <w:rsid w:val="0054788A"/>
    <w:rsid w:val="00557210"/>
    <w:rsid w:val="005D13E2"/>
    <w:rsid w:val="00604C02"/>
    <w:rsid w:val="00666A8A"/>
    <w:rsid w:val="007D1419"/>
    <w:rsid w:val="0087021E"/>
    <w:rsid w:val="00896053"/>
    <w:rsid w:val="008E1D78"/>
    <w:rsid w:val="008E4BE2"/>
    <w:rsid w:val="0091124A"/>
    <w:rsid w:val="00936274"/>
    <w:rsid w:val="00941D6F"/>
    <w:rsid w:val="009678A9"/>
    <w:rsid w:val="009724A6"/>
    <w:rsid w:val="009D09D9"/>
    <w:rsid w:val="00A215ED"/>
    <w:rsid w:val="00A459A0"/>
    <w:rsid w:val="00A60E80"/>
    <w:rsid w:val="00A718FA"/>
    <w:rsid w:val="00AC1998"/>
    <w:rsid w:val="00AC4A8E"/>
    <w:rsid w:val="00AD21A1"/>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6422C"/>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101797">
      <w:bodyDiv w:val="1"/>
      <w:marLeft w:val="0"/>
      <w:marRight w:val="0"/>
      <w:marTop w:val="0"/>
      <w:marBottom w:val="0"/>
      <w:divBdr>
        <w:top w:val="none" w:sz="0" w:space="0" w:color="auto"/>
        <w:left w:val="none" w:sz="0" w:space="0" w:color="auto"/>
        <w:bottom w:val="none" w:sz="0" w:space="0" w:color="auto"/>
        <w:right w:val="none" w:sz="0" w:space="0" w:color="auto"/>
      </w:divBdr>
    </w:div>
    <w:div w:id="1087768619">
      <w:bodyDiv w:val="1"/>
      <w:marLeft w:val="0"/>
      <w:marRight w:val="0"/>
      <w:marTop w:val="0"/>
      <w:marBottom w:val="0"/>
      <w:divBdr>
        <w:top w:val="none" w:sz="0" w:space="0" w:color="auto"/>
        <w:left w:val="none" w:sz="0" w:space="0" w:color="auto"/>
        <w:bottom w:val="none" w:sz="0" w:space="0" w:color="auto"/>
        <w:right w:val="none" w:sz="0" w:space="0" w:color="auto"/>
      </w:divBdr>
      <w:divsChild>
        <w:div w:id="1922985029">
          <w:marLeft w:val="0"/>
          <w:marRight w:val="0"/>
          <w:marTop w:val="0"/>
          <w:marBottom w:val="0"/>
          <w:divBdr>
            <w:top w:val="none" w:sz="0" w:space="0" w:color="auto"/>
            <w:left w:val="none" w:sz="0" w:space="0" w:color="auto"/>
            <w:bottom w:val="none" w:sz="0" w:space="0" w:color="auto"/>
            <w:right w:val="none" w:sz="0" w:space="0" w:color="auto"/>
          </w:divBdr>
        </w:div>
      </w:divsChild>
    </w:div>
    <w:div w:id="1198274781">
      <w:marLeft w:val="0"/>
      <w:marRight w:val="0"/>
      <w:marTop w:val="0"/>
      <w:marBottom w:val="0"/>
      <w:divBdr>
        <w:top w:val="none" w:sz="0" w:space="0" w:color="auto"/>
        <w:left w:val="none" w:sz="0" w:space="0" w:color="auto"/>
        <w:bottom w:val="none" w:sz="0" w:space="0" w:color="auto"/>
        <w:right w:val="none" w:sz="0" w:space="0" w:color="auto"/>
      </w:divBdr>
    </w:div>
    <w:div w:id="1709716553">
      <w:marLeft w:val="0"/>
      <w:marRight w:val="0"/>
      <w:marTop w:val="0"/>
      <w:marBottom w:val="0"/>
      <w:divBdr>
        <w:top w:val="none" w:sz="0" w:space="0" w:color="auto"/>
        <w:left w:val="none" w:sz="0" w:space="0" w:color="auto"/>
        <w:bottom w:val="none" w:sz="0" w:space="0" w:color="auto"/>
        <w:right w:val="none" w:sz="0" w:space="0" w:color="auto"/>
      </w:divBdr>
      <w:divsChild>
        <w:div w:id="1418820879">
          <w:marLeft w:val="0"/>
          <w:marRight w:val="0"/>
          <w:marTop w:val="0"/>
          <w:marBottom w:val="0"/>
          <w:divBdr>
            <w:top w:val="none" w:sz="0" w:space="0" w:color="auto"/>
            <w:left w:val="none" w:sz="0" w:space="0" w:color="auto"/>
            <w:bottom w:val="none" w:sz="0" w:space="0" w:color="auto"/>
            <w:right w:val="none" w:sz="0" w:space="0" w:color="auto"/>
          </w:divBdr>
          <w:divsChild>
            <w:div w:id="407583923">
              <w:marLeft w:val="0"/>
              <w:marRight w:val="0"/>
              <w:marTop w:val="0"/>
              <w:marBottom w:val="0"/>
              <w:divBdr>
                <w:top w:val="none" w:sz="0" w:space="0" w:color="auto"/>
                <w:left w:val="none" w:sz="0" w:space="0" w:color="auto"/>
                <w:bottom w:val="none" w:sz="0" w:space="0" w:color="auto"/>
                <w:right w:val="none" w:sz="0" w:space="0" w:color="auto"/>
              </w:divBdr>
            </w:div>
            <w:div w:id="951666068">
              <w:marLeft w:val="0"/>
              <w:marRight w:val="0"/>
              <w:marTop w:val="0"/>
              <w:marBottom w:val="0"/>
              <w:divBdr>
                <w:top w:val="none" w:sz="0" w:space="0" w:color="auto"/>
                <w:left w:val="none" w:sz="0" w:space="0" w:color="auto"/>
                <w:bottom w:val="none" w:sz="0" w:space="0" w:color="auto"/>
                <w:right w:val="none" w:sz="0" w:space="0" w:color="auto"/>
              </w:divBdr>
            </w:div>
            <w:div w:id="1438673125">
              <w:marLeft w:val="0"/>
              <w:marRight w:val="0"/>
              <w:marTop w:val="0"/>
              <w:marBottom w:val="0"/>
              <w:divBdr>
                <w:top w:val="none" w:sz="0" w:space="0" w:color="auto"/>
                <w:left w:val="none" w:sz="0" w:space="0" w:color="auto"/>
                <w:bottom w:val="none" w:sz="0" w:space="0" w:color="auto"/>
                <w:right w:val="none" w:sz="0" w:space="0" w:color="auto"/>
              </w:divBdr>
            </w:div>
            <w:div w:id="789667593">
              <w:marLeft w:val="0"/>
              <w:marRight w:val="0"/>
              <w:marTop w:val="0"/>
              <w:marBottom w:val="0"/>
              <w:divBdr>
                <w:top w:val="none" w:sz="0" w:space="0" w:color="auto"/>
                <w:left w:val="none" w:sz="0" w:space="0" w:color="auto"/>
                <w:bottom w:val="none" w:sz="0" w:space="0" w:color="auto"/>
                <w:right w:val="none" w:sz="0" w:space="0" w:color="auto"/>
              </w:divBdr>
            </w:div>
            <w:div w:id="1937861354">
              <w:marLeft w:val="0"/>
              <w:marRight w:val="0"/>
              <w:marTop w:val="0"/>
              <w:marBottom w:val="0"/>
              <w:divBdr>
                <w:top w:val="none" w:sz="0" w:space="0" w:color="auto"/>
                <w:left w:val="none" w:sz="0" w:space="0" w:color="auto"/>
                <w:bottom w:val="none" w:sz="0" w:space="0" w:color="auto"/>
                <w:right w:val="none" w:sz="0" w:space="0" w:color="auto"/>
              </w:divBdr>
            </w:div>
            <w:div w:id="979115072">
              <w:marLeft w:val="0"/>
              <w:marRight w:val="0"/>
              <w:marTop w:val="0"/>
              <w:marBottom w:val="0"/>
              <w:divBdr>
                <w:top w:val="none" w:sz="0" w:space="0" w:color="auto"/>
                <w:left w:val="none" w:sz="0" w:space="0" w:color="auto"/>
                <w:bottom w:val="none" w:sz="0" w:space="0" w:color="auto"/>
                <w:right w:val="none" w:sz="0" w:space="0" w:color="auto"/>
              </w:divBdr>
            </w:div>
            <w:div w:id="110218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549</Words>
  <Characters>3134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2026-08-06T08:04:00Z</dcterms:created>
  <dcterms:modified xsi:type="dcterms:W3CDTF">2026-08-06T08:04:00Z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6d7f0c01,1cf7ac50,38ccf388</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7499511f,64e608b0,46fe2672</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2026-07-30T12:09:09Z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048b6bea-ca43-4fec-a7ed-1e2f968e797a</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