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C6906" w14:textId="77777777" w:rsidR="00D55D35" w:rsidRDefault="00D55D35">
      <w:pPr>
        <w:pStyle w:val="Heading2"/>
        <w:rPr>
          <w:rFonts w:ascii="Calibri" w:eastAsia="Times New Roman" w:hAnsi="Calibri" w:cs="Calibri"/>
          <w:sz w:val="36"/>
          <w:szCs w:val="36"/>
        </w:rPr>
      </w:pPr>
      <w:r>
        <w:rPr>
          <w:rFonts w:ascii="Calibri" w:eastAsia="Times New Roman" w:hAnsi="Calibri" w:cs="Calibri"/>
        </w:rPr>
        <w:t>Job Code: RM00163</w:t>
      </w:r>
    </w:p>
    <w:p w14:paraId="0715F20F" w14:textId="77777777" w:rsidR="00D55D35" w:rsidRDefault="00D55D35">
      <w:pPr>
        <w:pStyle w:val="Heading2"/>
        <w:divId w:val="2087650872"/>
        <w:rPr>
          <w:rFonts w:ascii="Calibri" w:eastAsia="Times New Roman" w:hAnsi="Calibri" w:cs="Calibri"/>
          <w:color w:val="000000"/>
        </w:rPr>
      </w:pPr>
      <w:r>
        <w:rPr>
          <w:rFonts w:ascii="Calibri" w:eastAsia="Times New Roman" w:hAnsi="Calibri" w:cs="Calibri"/>
          <w:color w:val="000000"/>
        </w:rPr>
        <w:t>Role Purpose</w:t>
      </w:r>
    </w:p>
    <w:p w14:paraId="6FF3EC0F" w14:textId="77777777" w:rsidR="00D55D35" w:rsidRDefault="00D55D35">
      <w:pPr>
        <w:divId w:val="1962295981"/>
        <w:rPr>
          <w:rFonts w:ascii="Calibri" w:eastAsiaTheme="minorEastAsia" w:hAnsi="Calibri" w:cs="Calibri"/>
          <w:color w:val="000000"/>
        </w:rPr>
      </w:pPr>
      <w:r>
        <w:rPr>
          <w:rFonts w:ascii="Calibri" w:hAnsi="Calibri" w:cs="Calibri"/>
          <w:color w:val="000000"/>
        </w:rPr>
        <w:t>The role holder manages projects funded by theAgencys Housing &amp; Infrastructure Grants funds under agreed Assurance Frameworks and Grant Funding Agreements (GFAs). The role holder manages and monitors GFAs, working with key partners, including Local Authorities, other public bodies and private sector partners, aswell as colleagues across the Agency.</w:t>
      </w:r>
    </w:p>
    <w:p w14:paraId="7BB3E7A4" w14:textId="77777777" w:rsidR="00D55D35" w:rsidRDefault="00D55D35">
      <w:pPr>
        <w:divId w:val="1962295981"/>
        <w:rPr>
          <w:rFonts w:ascii="Calibri" w:hAnsi="Calibri" w:cs="Calibri"/>
          <w:color w:val="000000"/>
        </w:rPr>
      </w:pPr>
      <w:r>
        <w:rPr>
          <w:rFonts w:ascii="Calibri" w:hAnsi="Calibri" w:cs="Calibri"/>
          <w:color w:val="000000"/>
        </w:rPr>
        <w:t xml:space="preserve">The role holder develops, manages and maintains a pipeline of Housing &amp; </w:t>
      </w:r>
      <w:r>
        <w:rPr>
          <w:rFonts w:ascii="Calibri" w:hAnsi="Calibri" w:cs="Calibri"/>
          <w:color w:val="000000"/>
        </w:rPr>
        <w:t>Infrastructure Grants projects in collaboration with internal colleagues.</w:t>
      </w:r>
    </w:p>
    <w:p w14:paraId="3FCA89DF" w14:textId="77777777" w:rsidR="00D55D35" w:rsidRDefault="00D55D35">
      <w:pPr>
        <w:divId w:val="1962295981"/>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5817FD43" w14:textId="77777777" w:rsidR="00D55D35" w:rsidRDefault="00D55D35">
      <w:pPr>
        <w:pStyle w:val="Heading2"/>
        <w:rPr>
          <w:rFonts w:ascii="Calibri" w:eastAsia="Times New Roman" w:hAnsi="Calibri" w:cs="Calibri"/>
        </w:rPr>
      </w:pPr>
      <w:r>
        <w:rPr>
          <w:rFonts w:ascii="Calibri" w:eastAsia="Times New Roman" w:hAnsi="Calibri" w:cs="Calibri"/>
        </w:rPr>
        <w:t>Responsibilities</w:t>
      </w:r>
    </w:p>
    <w:p w14:paraId="2B5BD798" w14:textId="77777777" w:rsidR="00D55D35" w:rsidRDefault="00D55D3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assurance that projects are perfoming in line with expectations under agreed Assurance Frameworks and Grant Funding Agreements (GFAs).</w:t>
      </w:r>
    </w:p>
    <w:p w14:paraId="7D6ABD67" w14:textId="77777777" w:rsidR="00D55D35" w:rsidRDefault="00D55D3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Verify and approve grant claims, ensuring that grant funding is paid to grant recipients in accordance with GFAs, liaising with the relevant teams to ensure timely payment processes and procedures.</w:t>
      </w:r>
    </w:p>
    <w:p w14:paraId="02F11ACC" w14:textId="77777777" w:rsidR="00D55D35" w:rsidRDefault="00D55D3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Monitor the delivery of projects to time, cost, and quality criteria set out in the GFA, providing assurance the delivery is progressing in line with agreed milestones.</w:t>
      </w:r>
    </w:p>
    <w:p w14:paraId="769DB9AE" w14:textId="77777777" w:rsidR="00D55D35" w:rsidRDefault="00D55D3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Deliver effective oversight of project performance, attending project meetings, carrying out site visits, approving releases of restrictions on title and further housing plans.</w:t>
      </w:r>
    </w:p>
    <w:p w14:paraId="1BE9438C" w14:textId="77777777" w:rsidR="00D55D35" w:rsidRDefault="00D55D3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on project performance reviews for allocated projects with a focus on small/medium/less-complex schemes.</w:t>
      </w:r>
    </w:p>
    <w:p w14:paraId="5ED11BAA" w14:textId="77777777" w:rsidR="00D55D35" w:rsidRDefault="00D55D3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an objective and independent review and challenge of grant recipient monitoring returns, analysing project appraisals and cashflows, carrying out clawback assessments, and ensuring a consistent approach to project management and project reporting (using various systems) across the programmes.</w:t>
      </w:r>
    </w:p>
    <w:p w14:paraId="171F1F61" w14:textId="77777777" w:rsidR="00D55D35" w:rsidRDefault="00D55D3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stakeholder relationships with counterparts at Local Authorities, other public and private sector partners.</w:t>
      </w:r>
    </w:p>
    <w:p w14:paraId="20037ED1" w14:textId="77777777" w:rsidR="00D55D35" w:rsidRDefault="00D55D3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Raise concerns regarding project delivery and make recommendations regarding mitigating actions where projects are not performing as anticipated to maximise the delivery of housing outputs.</w:t>
      </w:r>
    </w:p>
    <w:p w14:paraId="4124E2B4" w14:textId="77777777" w:rsidR="00D55D35" w:rsidRDefault="00D55D3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contracting process ensuring due consideration is given to post‐contractual arrangements, including monitoring and timely payment of grant claims, prior to entering into GFAs.</w:t>
      </w:r>
    </w:p>
    <w:p w14:paraId="3F19F7DF" w14:textId="77777777" w:rsidR="00D55D35" w:rsidRDefault="00D55D3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project capital expenditure within agreed budgets.</w:t>
      </w:r>
    </w:p>
    <w:p w14:paraId="6246EFBD" w14:textId="77777777" w:rsidR="00D55D35" w:rsidRDefault="00D55D35">
      <w:pPr>
        <w:pStyle w:val="Heading2"/>
        <w:rPr>
          <w:rFonts w:ascii="Calibri" w:eastAsia="Times New Roman" w:hAnsi="Calibri" w:cs="Calibri"/>
        </w:rPr>
      </w:pPr>
      <w:r>
        <w:rPr>
          <w:rFonts w:ascii="Calibri" w:eastAsia="Times New Roman" w:hAnsi="Calibri" w:cs="Calibri"/>
        </w:rPr>
        <w:t>Additional information</w:t>
      </w:r>
    </w:p>
    <w:p w14:paraId="56681BAC" w14:textId="77777777" w:rsidR="00D55D35" w:rsidRDefault="00D55D35">
      <w:pPr>
        <w:pStyle w:val="Heading3"/>
        <w:rPr>
          <w:rFonts w:ascii="Calibri" w:eastAsia="Times New Roman" w:hAnsi="Calibri" w:cs="Calibri"/>
        </w:rPr>
      </w:pPr>
      <w:r>
        <w:rPr>
          <w:rFonts w:ascii="Calibri" w:eastAsia="Times New Roman" w:hAnsi="Calibri" w:cs="Calibri"/>
        </w:rPr>
        <w:t>Qualifications, knowledge and experience</w:t>
      </w:r>
    </w:p>
    <w:p w14:paraId="72FA728B" w14:textId="77777777" w:rsidR="00D55D35" w:rsidRDefault="00D55D35">
      <w:pPr>
        <w:numPr>
          <w:ilvl w:val="0"/>
          <w:numId w:val="2"/>
        </w:numPr>
        <w:spacing w:before="100" w:beforeAutospacing="1" w:after="100" w:afterAutospacing="1"/>
        <w:divId w:val="313726703"/>
        <w:rPr>
          <w:rFonts w:ascii="Calibri" w:eastAsia="Times New Roman" w:hAnsi="Calibri" w:cs="Calibri"/>
        </w:rPr>
      </w:pPr>
      <w:r>
        <w:rPr>
          <w:rFonts w:ascii="Calibri" w:eastAsia="Times New Roman" w:hAnsi="Calibri" w:cs="Calibri"/>
        </w:rPr>
        <w:t>Degree level qualification or equivalent experience.</w:t>
      </w:r>
    </w:p>
    <w:p w14:paraId="0D092F44" w14:textId="77777777" w:rsidR="00D55D35" w:rsidRDefault="00D55D35">
      <w:pPr>
        <w:numPr>
          <w:ilvl w:val="0"/>
          <w:numId w:val="2"/>
        </w:numPr>
        <w:spacing w:before="100" w:beforeAutospacing="1" w:after="100" w:afterAutospacing="1"/>
        <w:divId w:val="313726703"/>
        <w:rPr>
          <w:rFonts w:ascii="Calibri" w:eastAsia="Times New Roman" w:hAnsi="Calibri" w:cs="Calibri"/>
        </w:rPr>
      </w:pPr>
      <w:r>
        <w:rPr>
          <w:rFonts w:ascii="Calibri" w:eastAsia="Times New Roman" w:hAnsi="Calibri" w:cs="Calibri"/>
        </w:rPr>
        <w:t>Knowledge of the UK housing market.</w:t>
      </w:r>
    </w:p>
    <w:p w14:paraId="3467056B" w14:textId="77777777" w:rsidR="00D55D35" w:rsidRDefault="00D55D35">
      <w:pPr>
        <w:numPr>
          <w:ilvl w:val="0"/>
          <w:numId w:val="2"/>
        </w:numPr>
        <w:spacing w:before="100" w:beforeAutospacing="1" w:after="100" w:afterAutospacing="1"/>
        <w:divId w:val="313726703"/>
        <w:rPr>
          <w:rFonts w:ascii="Calibri" w:eastAsia="Times New Roman" w:hAnsi="Calibri" w:cs="Calibri"/>
        </w:rPr>
      </w:pPr>
      <w:r>
        <w:rPr>
          <w:rFonts w:ascii="Calibri" w:eastAsia="Times New Roman" w:hAnsi="Calibri" w:cs="Calibri"/>
        </w:rPr>
        <w:t>Experience in project management, assurance, and monitoring in a property or infrastructure environment.</w:t>
      </w:r>
    </w:p>
    <w:p w14:paraId="6F4798CF" w14:textId="77777777" w:rsidR="00D55D35" w:rsidRDefault="00D55D35">
      <w:pPr>
        <w:numPr>
          <w:ilvl w:val="0"/>
          <w:numId w:val="2"/>
        </w:numPr>
        <w:spacing w:before="100" w:beforeAutospacing="1" w:after="100" w:afterAutospacing="1"/>
        <w:divId w:val="313726703"/>
        <w:rPr>
          <w:rFonts w:ascii="Calibri" w:eastAsia="Times New Roman" w:hAnsi="Calibri" w:cs="Calibri"/>
        </w:rPr>
      </w:pPr>
      <w:r>
        <w:rPr>
          <w:rFonts w:ascii="Calibri" w:eastAsia="Times New Roman" w:hAnsi="Calibri" w:cs="Calibri"/>
        </w:rPr>
        <w:t>Experience in risk management and business administration.</w:t>
      </w:r>
    </w:p>
    <w:p w14:paraId="28BE2D38" w14:textId="77777777" w:rsidR="00D55D35" w:rsidRDefault="00D55D35">
      <w:pPr>
        <w:pStyle w:val="Heading2"/>
        <w:divId w:val="1688024219"/>
        <w:rPr>
          <w:rFonts w:ascii="Calibri" w:eastAsia="Times New Roman" w:hAnsi="Calibri" w:cs="Calibri"/>
          <w:sz w:val="36"/>
          <w:szCs w:val="36"/>
        </w:rPr>
      </w:pPr>
      <w:r>
        <w:rPr>
          <w:rFonts w:ascii="Calibri" w:eastAsia="Times New Roman" w:hAnsi="Calibri" w:cs="Calibri"/>
        </w:rPr>
        <w:lastRenderedPageBreak/>
        <w:t>Job Function / Family</w:t>
      </w:r>
    </w:p>
    <w:p w14:paraId="22D9861A" w14:textId="77777777" w:rsidR="00D55D35" w:rsidRDefault="00D55D35">
      <w:pPr>
        <w:divId w:val="1688024219"/>
        <w:rPr>
          <w:rFonts w:ascii="Calibri" w:eastAsiaTheme="minorEastAsia" w:hAnsi="Calibri" w:cs="Calibri"/>
        </w:rPr>
      </w:pPr>
      <w:r>
        <w:rPr>
          <w:rFonts w:ascii="Calibri" w:hAnsi="Calibri" w:cs="Calibri"/>
          <w:b/>
          <w:bCs/>
        </w:rPr>
        <w:t>Property &amp; Construction Projects</w:t>
      </w:r>
      <w:r>
        <w:rPr>
          <w:rFonts w:ascii="Calibri" w:hAnsi="Calibri" w:cs="Calibri"/>
        </w:rPr>
        <w:t xml:space="preserve"> : We oversee project delivery of complex capital infrastructure and construction projects. Our roles are either directly responsible for the end-to-end delivery of a project or are responsible for funding (via financial interventions including grant and hybrid grant), monitoring, contract management and supporting project delivery via our partner organisations under funding agreements. We play a key role in governance </w:t>
      </w:r>
      <w:r>
        <w:rPr>
          <w:rFonts w:ascii="Calibri" w:hAnsi="Calibri" w:cs="Calibri"/>
        </w:rPr>
        <w:t xml:space="preserve">and assurance, collaborating with stakeholders to drive delivery against clearly defined outcomes that are achieved within the agreed time, cost, and quality constraints. Roles managing financial interventions apply their specialist, technical knowledge in multi-disciplinary teams to support housing, regeneration and infrastructure projects, including change management &amp; </w:t>
      </w:r>
      <w:r>
        <w:rPr>
          <w:rFonts w:ascii="Calibri" w:hAnsi="Calibri" w:cs="Calibri"/>
        </w:rPr>
        <w:t xml:space="preserve">contractual variations, carrying out viability appraisals, due diligence and clawback assessments, assessing funding packages to ensure infrastructure, housing and regeneration outputs are delivered. These roles have a key role in the budget management and delivery of national programmes and portfolios, including inputting via a “feedback loop” supporting the contracting of new business. </w:t>
      </w:r>
    </w:p>
    <w:p w14:paraId="0DFA553C" w14:textId="77777777" w:rsidR="00D55D35" w:rsidRDefault="00D55D35">
      <w:pPr>
        <w:pStyle w:val="Heading2"/>
        <w:divId w:val="1688024219"/>
        <w:rPr>
          <w:rFonts w:ascii="Calibri" w:eastAsia="Times New Roman" w:hAnsi="Calibri" w:cs="Calibri"/>
        </w:rPr>
      </w:pPr>
      <w:r>
        <w:rPr>
          <w:rFonts w:ascii="Calibri" w:eastAsia="Times New Roman" w:hAnsi="Calibri" w:cs="Calibri"/>
        </w:rPr>
        <w:t>Role Classification</w:t>
      </w:r>
    </w:p>
    <w:p w14:paraId="57A4A4B4" w14:textId="77777777" w:rsidR="00D55D35" w:rsidRDefault="00D55D35">
      <w:pPr>
        <w:divId w:val="1688024219"/>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16</w:t>
      </w:r>
      <w:r>
        <w:rPr>
          <w:rFonts w:ascii="Calibri" w:hAnsi="Calibri" w:cs="Calibri"/>
        </w:rPr>
        <w:t xml:space="preserve"> </w:t>
      </w:r>
    </w:p>
    <w:p w14:paraId="624F7949" w14:textId="77777777" w:rsidR="00D55D35" w:rsidRDefault="00D55D35">
      <w:pPr>
        <w:divId w:val="1688024219"/>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r>
      <w:r>
        <w:rPr>
          <w:rFonts w:ascii="Calibri" w:hAnsi="Calibri" w:cs="Calibri"/>
        </w:rPr>
        <w:t xml:space="preserve">Additional behaviours aspired to by colleagues who have direct reports or are responsible for leading work through others (i.e. managers, project leaders, those who own an area of technical expertise) </w:t>
      </w:r>
    </w:p>
    <w:p w14:paraId="1DECD4F1" w14:textId="77777777" w:rsidR="00D55D35" w:rsidRDefault="00D55D35">
      <w:pPr>
        <w:spacing w:after="0"/>
        <w:divId w:val="1762751406"/>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67400DB9" w14:textId="77777777">
        <w:trPr>
          <w:divId w:val="1762751406"/>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63BC7F3B"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3ED8D89F" w14:textId="77777777">
                    <w:tc>
                      <w:tcPr>
                        <w:tcW w:w="0" w:type="auto"/>
                        <w:vAlign w:val="center"/>
                        <w:hideMark/>
                      </w:tcPr>
                      <w:p w14:paraId="21B1D8DA" w14:textId="77777777" w:rsidR="00D55D35" w:rsidRDefault="00D55D35">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1FFB12CC" w14:textId="77777777" w:rsidR="00D55D35" w:rsidRDefault="00D55D35">
                  <w:pPr>
                    <w:pStyle w:val="legend-table"/>
                    <w:rPr>
                      <w:rFonts w:ascii="Calibri" w:eastAsia="Times New Roman" w:hAnsi="Calibri" w:cs="Calibri"/>
                    </w:rPr>
                  </w:pPr>
                </w:p>
              </w:tc>
              <w:tc>
                <w:tcPr>
                  <w:tcW w:w="0" w:type="auto"/>
                  <w:vAlign w:val="center"/>
                  <w:hideMark/>
                </w:tcPr>
                <w:p w14:paraId="7E0CD713" w14:textId="77777777" w:rsidR="00D55D35" w:rsidRDefault="00D55D35">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2590A4DE" w14:textId="77777777">
                    <w:tc>
                      <w:tcPr>
                        <w:tcW w:w="0" w:type="auto"/>
                        <w:vAlign w:val="center"/>
                        <w:hideMark/>
                      </w:tcPr>
                      <w:p w14:paraId="4DA3F23B" w14:textId="77777777" w:rsidR="00D55D35" w:rsidRDefault="00D55D35">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39118D8C" w14:textId="77777777" w:rsidR="00D55D35" w:rsidRDefault="00D55D35">
                  <w:pPr>
                    <w:pStyle w:val="legend-table"/>
                    <w:rPr>
                      <w:rFonts w:ascii="Calibri" w:eastAsia="Times New Roman" w:hAnsi="Calibri" w:cs="Calibri"/>
                    </w:rPr>
                  </w:pPr>
                </w:p>
              </w:tc>
              <w:tc>
                <w:tcPr>
                  <w:tcW w:w="0" w:type="auto"/>
                  <w:vAlign w:val="center"/>
                  <w:hideMark/>
                </w:tcPr>
                <w:p w14:paraId="717016D6" w14:textId="77777777" w:rsidR="00D55D35" w:rsidRDefault="00D55D35">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6607EC13" w14:textId="77777777">
                    <w:tc>
                      <w:tcPr>
                        <w:tcW w:w="0" w:type="auto"/>
                        <w:vAlign w:val="center"/>
                        <w:hideMark/>
                      </w:tcPr>
                      <w:p w14:paraId="74290DEB" w14:textId="77777777" w:rsidR="00D55D35" w:rsidRDefault="00D55D35">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58F890E8" w14:textId="77777777" w:rsidR="00D55D35" w:rsidRDefault="00D55D35">
                  <w:pPr>
                    <w:pStyle w:val="legend-table"/>
                    <w:rPr>
                      <w:rFonts w:ascii="Calibri" w:eastAsia="Times New Roman" w:hAnsi="Calibri" w:cs="Calibri"/>
                    </w:rPr>
                  </w:pPr>
                </w:p>
              </w:tc>
              <w:tc>
                <w:tcPr>
                  <w:tcW w:w="0" w:type="auto"/>
                  <w:vAlign w:val="center"/>
                  <w:hideMark/>
                </w:tcPr>
                <w:p w14:paraId="52DC05B9" w14:textId="77777777" w:rsidR="00D55D35" w:rsidRDefault="00D55D35">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3814B1C6" w14:textId="77777777">
                    <w:tc>
                      <w:tcPr>
                        <w:tcW w:w="0" w:type="auto"/>
                        <w:vAlign w:val="center"/>
                        <w:hideMark/>
                      </w:tcPr>
                      <w:p w14:paraId="5DD46432" w14:textId="77777777" w:rsidR="00D55D35" w:rsidRDefault="00D55D35">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0CF4CA15" w14:textId="77777777" w:rsidR="00D55D35" w:rsidRDefault="00D55D35">
                  <w:pPr>
                    <w:pStyle w:val="legend-table"/>
                    <w:rPr>
                      <w:rFonts w:ascii="Calibri" w:eastAsia="Times New Roman" w:hAnsi="Calibri" w:cs="Calibri"/>
                    </w:rPr>
                  </w:pPr>
                </w:p>
              </w:tc>
              <w:tc>
                <w:tcPr>
                  <w:tcW w:w="0" w:type="auto"/>
                  <w:vAlign w:val="center"/>
                  <w:hideMark/>
                </w:tcPr>
                <w:p w14:paraId="25F9303E" w14:textId="77777777" w:rsidR="00D55D35" w:rsidRDefault="00D55D35">
                  <w:pPr>
                    <w:pStyle w:val="legend-table"/>
                    <w:rPr>
                      <w:rFonts w:ascii="Calibri" w:eastAsia="Times New Roman" w:hAnsi="Calibri" w:cs="Calibri"/>
                    </w:rPr>
                  </w:pPr>
                  <w:r>
                    <w:rPr>
                      <w:rFonts w:ascii="Calibri" w:eastAsia="Times New Roman" w:hAnsi="Calibri" w:cs="Calibri"/>
                    </w:rPr>
                    <w:t>Not assessable</w:t>
                  </w:r>
                </w:p>
              </w:tc>
            </w:tr>
          </w:tbl>
          <w:p w14:paraId="5169E9ED" w14:textId="77777777" w:rsidR="00D55D35" w:rsidRDefault="00D55D35">
            <w:pPr>
              <w:spacing w:after="0"/>
              <w:rPr>
                <w:rFonts w:ascii="Calibri" w:hAnsi="Calibri" w:cs="Calibri"/>
              </w:rPr>
            </w:pPr>
          </w:p>
        </w:tc>
      </w:tr>
    </w:tbl>
    <w:p w14:paraId="1F5B703D" w14:textId="77777777" w:rsidR="00D55D35" w:rsidRDefault="00D55D35">
      <w:pPr>
        <w:spacing w:after="0"/>
        <w:divId w:val="1762751406"/>
        <w:rPr>
          <w:rFonts w:eastAsia="Times New Roman"/>
        </w:rPr>
      </w:pPr>
    </w:p>
    <w:p w14:paraId="11ED9B92" w14:textId="77777777" w:rsidR="009678A9" w:rsidRDefault="009678A9">
      <w:r>
        <w:br w:type="page"/>
      </w:r>
    </w:p>
    <w:p w14:paraId="6375E77C"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4F326" w14:textId="77777777" w:rsidR="00D55D35" w:rsidRDefault="00D55D35" w:rsidP="0091124A">
      <w:pPr>
        <w:spacing w:after="0"/>
      </w:pPr>
      <w:r>
        <w:separator/>
      </w:r>
    </w:p>
  </w:endnote>
  <w:endnote w:type="continuationSeparator" w:id="0">
    <w:p w14:paraId="03C74461" w14:textId="77777777" w:rsidR="00D55D35" w:rsidRDefault="00D55D35"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6D5E5" w14:textId="167C7D30" w:rsidR="002F3810" w:rsidRDefault="004358A2">
    <w:pPr>
      <w:pStyle w:val="Footer"/>
    </w:pPr>
    <w:r>
      <w:rPr>
        <w:noProof/>
      </w:rPr>
      <mc:AlternateContent>
        <mc:Choice Requires="wps">
          <w:drawing>
            <wp:anchor distT="0" distB="0" distL="0" distR="0" simplePos="0" relativeHeight="251662336" behindDoc="0" locked="0" layoutInCell="1" allowOverlap="1" wp14:anchorId="40DB66B7" wp14:editId="58408334">
              <wp:simplePos x="635" y="635"/>
              <wp:positionH relativeFrom="page">
                <wp:align>center</wp:align>
              </wp:positionH>
              <wp:positionV relativeFrom="page">
                <wp:align>bottom</wp:align>
              </wp:positionV>
              <wp:extent cx="518795" cy="345440"/>
              <wp:effectExtent l="0" t="0" r="14605" b="0"/>
              <wp:wrapNone/>
              <wp:docPr id="186735839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2DE4449" w14:textId="03EE87F4"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DB66B7"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62DE4449" w14:textId="03EE87F4"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2F6E2" w14:textId="77777777" w:rsidR="004358A2" w:rsidRDefault="004358A2">
    <w:pPr>
      <w:pStyle w:val="Footer"/>
      <w:jc w:val="center"/>
    </w:pPr>
    <w:r>
      <w:rPr>
        <w:noProof/>
      </w:rPr>
      <mc:AlternateContent>
        <mc:Choice Requires="wps">
          <w:drawing>
            <wp:anchor distT="0" distB="0" distL="0" distR="0" simplePos="0" relativeHeight="251663360" behindDoc="0" locked="0" layoutInCell="1" allowOverlap="1" wp14:anchorId="4C87A49B" wp14:editId="1830A575">
              <wp:simplePos x="457200" y="9648825"/>
              <wp:positionH relativeFrom="page">
                <wp:align>center</wp:align>
              </wp:positionH>
              <wp:positionV relativeFrom="page">
                <wp:align>bottom</wp:align>
              </wp:positionV>
              <wp:extent cx="518795" cy="345440"/>
              <wp:effectExtent l="0" t="0" r="14605" b="0"/>
              <wp:wrapNone/>
              <wp:docPr id="1760096968"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6473230" w14:textId="245D4F0E"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C87A49B"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76473230" w14:textId="245D4F0E"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52C5B1F7" w14:textId="2AAE8A0E"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054924CE"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4358A2">
          <w:rPr>
            <w:noProof/>
            <w:color w:val="A6A6A6" w:themeColor="background1" w:themeShade="A6"/>
            <w:sz w:val="16"/>
            <w:szCs w:val="16"/>
          </w:rPr>
          <w:t>2026</w:t>
        </w:r>
        <w:r>
          <w:rPr>
            <w:color w:val="A6A6A6" w:themeColor="background1" w:themeShade="A6"/>
            <w:sz w:val="16"/>
            <w:szCs w:val="16"/>
          </w:rPr>
          <w:fldChar w:fldCharType="end"/>
        </w:r>
      </w:p>
    </w:sdtContent>
  </w:sdt>
  <w:p w14:paraId="62159EAB"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8563F" w14:textId="6D4B8667" w:rsidR="002F3810" w:rsidRDefault="004358A2">
    <w:pPr>
      <w:pStyle w:val="Footer"/>
    </w:pPr>
    <w:r>
      <w:rPr>
        <w:noProof/>
      </w:rPr>
      <mc:AlternateContent>
        <mc:Choice Requires="wps">
          <w:drawing>
            <wp:anchor distT="0" distB="0" distL="0" distR="0" simplePos="0" relativeHeight="251661312" behindDoc="0" locked="0" layoutInCell="1" allowOverlap="1" wp14:anchorId="057013E2" wp14:editId="7EEDF7CD">
              <wp:simplePos x="635" y="635"/>
              <wp:positionH relativeFrom="page">
                <wp:align>center</wp:align>
              </wp:positionH>
              <wp:positionV relativeFrom="page">
                <wp:align>bottom</wp:align>
              </wp:positionV>
              <wp:extent cx="518795" cy="345440"/>
              <wp:effectExtent l="0" t="0" r="14605" b="0"/>
              <wp:wrapNone/>
              <wp:docPr id="114783238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814B73D" w14:textId="3DC668BD"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57013E2"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2814B73D" w14:textId="3DC668BD"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02CD6" w14:textId="77777777" w:rsidR="00D55D35" w:rsidRDefault="00D55D35" w:rsidP="0091124A">
      <w:pPr>
        <w:spacing w:after="0"/>
      </w:pPr>
      <w:r>
        <w:separator/>
      </w:r>
    </w:p>
  </w:footnote>
  <w:footnote w:type="continuationSeparator" w:id="0">
    <w:p w14:paraId="7387FF66" w14:textId="77777777" w:rsidR="00D55D35" w:rsidRDefault="00D55D35"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65765" w14:textId="0C42AFA5" w:rsidR="002F3810" w:rsidRDefault="004358A2">
    <w:pPr>
      <w:pStyle w:val="Header"/>
    </w:pPr>
    <w:r>
      <w:rPr>
        <w:noProof/>
      </w:rPr>
      <mc:AlternateContent>
        <mc:Choice Requires="wps">
          <w:drawing>
            <wp:anchor distT="0" distB="0" distL="0" distR="0" simplePos="0" relativeHeight="251659264" behindDoc="0" locked="0" layoutInCell="1" allowOverlap="1" wp14:anchorId="7558F733" wp14:editId="5B37FCE8">
              <wp:simplePos x="635" y="635"/>
              <wp:positionH relativeFrom="page">
                <wp:align>center</wp:align>
              </wp:positionH>
              <wp:positionV relativeFrom="page">
                <wp:align>top</wp:align>
              </wp:positionV>
              <wp:extent cx="518795" cy="345440"/>
              <wp:effectExtent l="0" t="0" r="14605" b="16510"/>
              <wp:wrapNone/>
              <wp:docPr id="113217867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FC72CB1" w14:textId="470A826E"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558F733"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6FC72CB1" w14:textId="470A826E"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18F9A442" w14:textId="77777777" w:rsidTr="003F426E">
      <w:tc>
        <w:tcPr>
          <w:tcW w:w="2442" w:type="pct"/>
          <w:tcBorders>
            <w:bottom w:val="single" w:sz="4" w:space="0" w:color="auto"/>
          </w:tcBorders>
        </w:tcPr>
        <w:p w14:paraId="4E44B912" w14:textId="09A10196" w:rsidR="001A4FDD" w:rsidRPr="004D5782" w:rsidRDefault="004358A2"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00C68B6C" wp14:editId="36CE21D4">
                    <wp:simplePos x="523875" y="447675"/>
                    <wp:positionH relativeFrom="page">
                      <wp:align>center</wp:align>
                    </wp:positionH>
                    <wp:positionV relativeFrom="page">
                      <wp:align>top</wp:align>
                    </wp:positionV>
                    <wp:extent cx="518795" cy="345440"/>
                    <wp:effectExtent l="0" t="0" r="14605" b="16510"/>
                    <wp:wrapNone/>
                    <wp:docPr id="117973980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4D19F20" w14:textId="68D26397"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0C68B6C"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34D19F20" w14:textId="68D26397"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3D7CC606"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Infrastructure Grants Project Management -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76C5AFE4"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2A6B732F" wp14:editId="772E9BE0">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3C1F3724"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F00D8" w14:textId="2E136631" w:rsidR="002F3810" w:rsidRDefault="004358A2">
    <w:pPr>
      <w:pStyle w:val="Header"/>
    </w:pPr>
    <w:r>
      <w:rPr>
        <w:noProof/>
      </w:rPr>
      <mc:AlternateContent>
        <mc:Choice Requires="wps">
          <w:drawing>
            <wp:anchor distT="0" distB="0" distL="0" distR="0" simplePos="0" relativeHeight="251658240" behindDoc="0" locked="0" layoutInCell="1" allowOverlap="1" wp14:anchorId="39442B1C" wp14:editId="3274CD6C">
              <wp:simplePos x="635" y="635"/>
              <wp:positionH relativeFrom="page">
                <wp:align>center</wp:align>
              </wp:positionH>
              <wp:positionV relativeFrom="page">
                <wp:align>top</wp:align>
              </wp:positionV>
              <wp:extent cx="518795" cy="345440"/>
              <wp:effectExtent l="0" t="0" r="14605" b="16510"/>
              <wp:wrapNone/>
              <wp:docPr id="136899426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2B8C23E" w14:textId="6500BC7B"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9442B1C"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62B8C23E" w14:textId="6500BC7B" w:rsidR="004358A2" w:rsidRPr="004358A2" w:rsidRDefault="004358A2" w:rsidP="004358A2">
                    <w:pPr>
                      <w:spacing w:after="0"/>
                      <w:rPr>
                        <w:rFonts w:ascii="Aptos" w:eastAsia="Aptos" w:hAnsi="Aptos" w:cs="Aptos"/>
                        <w:noProof/>
                        <w:color w:val="000000"/>
                        <w:sz w:val="20"/>
                        <w:szCs w:val="20"/>
                      </w:rPr>
                    </w:pPr>
                    <w:r w:rsidRPr="004358A2">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31AD"/>
    <w:multiLevelType w:val="multilevel"/>
    <w:tmpl w:val="EBD8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DC056D"/>
    <w:multiLevelType w:val="multilevel"/>
    <w:tmpl w:val="AA7A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6168949">
    <w:abstractNumId w:val="1"/>
  </w:num>
  <w:num w:numId="2" w16cid:durableId="1518888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503F"/>
    <w:rsid w:val="002F3810"/>
    <w:rsid w:val="00335F4C"/>
    <w:rsid w:val="00372C10"/>
    <w:rsid w:val="00373D6A"/>
    <w:rsid w:val="003F09C7"/>
    <w:rsid w:val="003F426E"/>
    <w:rsid w:val="004358A2"/>
    <w:rsid w:val="00491DDC"/>
    <w:rsid w:val="004D5782"/>
    <w:rsid w:val="0054788A"/>
    <w:rsid w:val="00591C75"/>
    <w:rsid w:val="00604C02"/>
    <w:rsid w:val="00666A8A"/>
    <w:rsid w:val="007D1419"/>
    <w:rsid w:val="0087021E"/>
    <w:rsid w:val="00896053"/>
    <w:rsid w:val="008E1D78"/>
    <w:rsid w:val="008E4BE2"/>
    <w:rsid w:val="0091124A"/>
    <w:rsid w:val="00936274"/>
    <w:rsid w:val="00941D6F"/>
    <w:rsid w:val="009678A9"/>
    <w:rsid w:val="009724A6"/>
    <w:rsid w:val="00A459A0"/>
    <w:rsid w:val="00A60E80"/>
    <w:rsid w:val="00A718FA"/>
    <w:rsid w:val="00AC1998"/>
    <w:rsid w:val="00B61C92"/>
    <w:rsid w:val="00B67905"/>
    <w:rsid w:val="00BE140C"/>
    <w:rsid w:val="00C93842"/>
    <w:rsid w:val="00CA2036"/>
    <w:rsid w:val="00CC606A"/>
    <w:rsid w:val="00CC73C7"/>
    <w:rsid w:val="00CF4BE2"/>
    <w:rsid w:val="00D00E96"/>
    <w:rsid w:val="00D55D35"/>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5C5C6"/>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726703">
      <w:marLeft w:val="0"/>
      <w:marRight w:val="0"/>
      <w:marTop w:val="0"/>
      <w:marBottom w:val="0"/>
      <w:divBdr>
        <w:top w:val="none" w:sz="0" w:space="0" w:color="auto"/>
        <w:left w:val="none" w:sz="0" w:space="0" w:color="auto"/>
        <w:bottom w:val="none" w:sz="0" w:space="0" w:color="auto"/>
        <w:right w:val="none" w:sz="0" w:space="0" w:color="auto"/>
      </w:divBdr>
    </w:div>
    <w:div w:id="1688024219">
      <w:bodyDiv w:val="1"/>
      <w:marLeft w:val="0"/>
      <w:marRight w:val="0"/>
      <w:marTop w:val="0"/>
      <w:marBottom w:val="0"/>
      <w:divBdr>
        <w:top w:val="none" w:sz="0" w:space="0" w:color="auto"/>
        <w:left w:val="none" w:sz="0" w:space="0" w:color="auto"/>
        <w:bottom w:val="none" w:sz="0" w:space="0" w:color="auto"/>
        <w:right w:val="none" w:sz="0" w:space="0" w:color="auto"/>
      </w:divBdr>
    </w:div>
    <w:div w:id="2087650872">
      <w:marLeft w:val="0"/>
      <w:marRight w:val="0"/>
      <w:marTop w:val="0"/>
      <w:marBottom w:val="0"/>
      <w:divBdr>
        <w:top w:val="none" w:sz="0" w:space="0" w:color="auto"/>
        <w:left w:val="none" w:sz="0" w:space="0" w:color="auto"/>
        <w:bottom w:val="none" w:sz="0" w:space="0" w:color="auto"/>
        <w:right w:val="none" w:sz="0" w:space="0" w:color="auto"/>
      </w:divBdr>
      <w:divsChild>
        <w:div w:id="1962295981">
          <w:marLeft w:val="0"/>
          <w:marRight w:val="0"/>
          <w:marTop w:val="0"/>
          <w:marBottom w:val="0"/>
          <w:divBdr>
            <w:top w:val="none" w:sz="0" w:space="0" w:color="auto"/>
            <w:left w:val="none" w:sz="0" w:space="0" w:color="auto"/>
            <w:bottom w:val="none" w:sz="0" w:space="0" w:color="auto"/>
            <w:right w:val="none" w:sz="0" w:space="0" w:color="auto"/>
          </w:divBdr>
        </w:div>
      </w:divsChild>
    </w:div>
    <w:div w:id="2093887467">
      <w:bodyDiv w:val="1"/>
      <w:marLeft w:val="0"/>
      <w:marRight w:val="0"/>
      <w:marTop w:val="0"/>
      <w:marBottom w:val="0"/>
      <w:divBdr>
        <w:top w:val="none" w:sz="0" w:space="0" w:color="auto"/>
        <w:left w:val="none" w:sz="0" w:space="0" w:color="auto"/>
        <w:bottom w:val="none" w:sz="0" w:space="0" w:color="auto"/>
        <w:right w:val="none" w:sz="0" w:space="0" w:color="auto"/>
      </w:divBdr>
      <w:divsChild>
        <w:div w:id="1762751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641</Words>
  <Characters>3659</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Mall</dc:creator>
  <cp:keywords/>
  <dc:description/>
  <cp:lastModifiedBy>Jason Mall</cp:lastModifiedBy>
  <cp:revision>2</cp:revision>
  <dcterms:created xsi:type="dcterms:W3CDTF">2026-07-02T11:51:00Z</dcterms:created>
  <dcterms:modified xsi:type="dcterms:W3CDTF">2026-07-02T11:51:00Z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519931db,437bacf7,4651669c</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446a883c,6f4da0bc,68e8f2c8</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2026-07-02T11:51:34Z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bf2bd8c7-ef1b-424d-8240-57b5d93ba946</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