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96614" w14:textId="77777777" w:rsidR="001A190D" w:rsidRDefault="001A190D">
      <w:pPr>
        <w:pStyle w:val="Heading2"/>
        <w:rPr>
          <w:rFonts w:ascii="Calibri" w:eastAsia="Times New Roman" w:hAnsi="Calibri" w:cs="Calibri"/>
          <w:sz w:val="36"/>
          <w:szCs w:val="36"/>
        </w:rPr>
      </w:pPr>
      <w:r>
        <w:rPr>
          <w:rFonts w:ascii="Calibri" w:eastAsia="Times New Roman" w:hAnsi="Calibri" w:cs="Calibri"/>
        </w:rPr>
        <w:t>Job Code: RM01057</w:t>
      </w:r>
    </w:p>
    <w:p w14:paraId="588E182E" w14:textId="77777777" w:rsidR="001A190D" w:rsidRDefault="001A190D">
      <w:pPr>
        <w:pStyle w:val="Heading2"/>
        <w:divId w:val="1035278184"/>
        <w:rPr>
          <w:rFonts w:ascii="Calibri" w:eastAsia="Times New Roman" w:hAnsi="Calibri" w:cs="Calibri"/>
          <w:color w:val="000000"/>
        </w:rPr>
      </w:pPr>
      <w:r>
        <w:rPr>
          <w:rFonts w:ascii="Calibri" w:eastAsia="Times New Roman" w:hAnsi="Calibri" w:cs="Calibri"/>
          <w:color w:val="000000"/>
        </w:rPr>
        <w:t>Role Purpose</w:t>
      </w:r>
    </w:p>
    <w:p w14:paraId="5E4293EC" w14:textId="77777777" w:rsidR="001A190D" w:rsidRDefault="001A190D">
      <w:pPr>
        <w:divId w:val="1084105932"/>
        <w:rPr>
          <w:rFonts w:ascii="Calibri" w:eastAsiaTheme="minorEastAsia" w:hAnsi="Calibri" w:cs="Calibri"/>
          <w:color w:val="000000"/>
        </w:rPr>
      </w:pPr>
      <w:r>
        <w:rPr>
          <w:rFonts w:ascii="Calibri" w:hAnsi="Calibri" w:cs="Calibri"/>
          <w:color w:val="000000"/>
        </w:rPr>
        <w:t>The role holder leads the Agency’s technical function for Affordable Housing grant programmes, ensuring these products are clearly defined, effectively operationalised and aligned to wider organisational priorities.</w:t>
      </w:r>
    </w:p>
    <w:p w14:paraId="3B319E33" w14:textId="77777777" w:rsidR="001A190D" w:rsidRDefault="001A190D">
      <w:pPr>
        <w:divId w:val="1084105932"/>
        <w:rPr>
          <w:rFonts w:ascii="Calibri" w:hAnsi="Calibri" w:cs="Calibri"/>
          <w:color w:val="000000"/>
        </w:rPr>
      </w:pPr>
      <w:r>
        <w:rPr>
          <w:rFonts w:ascii="Calibri" w:hAnsi="Calibri" w:cs="Calibri"/>
          <w:color w:val="000000"/>
        </w:rPr>
        <w:t>The role provides expert technical advice, drives the development and implementation of Affordable Housing products, and ensures robust operational policy frameworks are in place to support delivery.</w:t>
      </w:r>
    </w:p>
    <w:p w14:paraId="798EDFB8" w14:textId="77777777" w:rsidR="001A190D" w:rsidRDefault="001A190D">
      <w:pPr>
        <w:divId w:val="1084105932"/>
        <w:rPr>
          <w:rFonts w:ascii="Calibri" w:hAnsi="Calibri" w:cs="Calibri"/>
          <w:color w:val="000000"/>
        </w:rPr>
      </w:pPr>
      <w:r>
        <w:rPr>
          <w:rFonts w:ascii="Calibri" w:hAnsi="Calibri" w:cs="Calibri"/>
          <w:color w:val="000000"/>
        </w:rPr>
        <w:t>The role holder works closely with internal teams, government partners and sector bodies to enable the successful design, management and continuous improvement of both mainstream and specialist housing programmes.</w:t>
      </w:r>
    </w:p>
    <w:p w14:paraId="792983D6" w14:textId="77777777" w:rsidR="001A190D" w:rsidRDefault="001A190D">
      <w:pPr>
        <w:divId w:val="1084105932"/>
        <w:rPr>
          <w:rFonts w:ascii="Calibri" w:hAnsi="Calibri" w:cs="Calibri"/>
          <w:color w:val="000000"/>
        </w:rPr>
      </w:pPr>
      <w:r>
        <w:rPr>
          <w:rFonts w:ascii="Calibri" w:hAnsi="Calibri" w:cs="Calibri"/>
          <w:color w:val="000000"/>
        </w:rPr>
        <w:t>The role ensures that products, systems and guidance are well</w:t>
      </w:r>
      <w:r>
        <w:rPr>
          <w:rFonts w:ascii="Calibri" w:hAnsi="Calibri" w:cs="Calibri"/>
          <w:color w:val="000000"/>
        </w:rPr>
        <w:noBreakHyphen/>
        <w:t>governed, evidence</w:t>
      </w:r>
      <w:r>
        <w:rPr>
          <w:rFonts w:ascii="Calibri" w:hAnsi="Calibri" w:cs="Calibri"/>
          <w:color w:val="000000"/>
        </w:rPr>
        <w:noBreakHyphen/>
        <w:t>based and capable of supporting long</w:t>
      </w:r>
      <w:r>
        <w:rPr>
          <w:rFonts w:ascii="Calibri" w:hAnsi="Calibri" w:cs="Calibri"/>
          <w:color w:val="000000"/>
        </w:rPr>
        <w:noBreakHyphen/>
        <w:t>term programme outcomes.</w:t>
      </w:r>
    </w:p>
    <w:p w14:paraId="48B39B75" w14:textId="77777777" w:rsidR="001A190D" w:rsidRDefault="001A190D">
      <w:pPr>
        <w:divId w:val="1084105932"/>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2D5FB4F1" w14:textId="77777777" w:rsidR="001A190D" w:rsidRDefault="001A190D">
      <w:pPr>
        <w:pStyle w:val="Heading2"/>
        <w:rPr>
          <w:rFonts w:ascii="Calibri" w:eastAsia="Times New Roman" w:hAnsi="Calibri" w:cs="Calibri"/>
        </w:rPr>
      </w:pPr>
      <w:r>
        <w:rPr>
          <w:rFonts w:ascii="Calibri" w:eastAsia="Times New Roman" w:hAnsi="Calibri" w:cs="Calibri"/>
        </w:rPr>
        <w:t>Responsibilities</w:t>
      </w:r>
    </w:p>
    <w:p w14:paraId="4BAD486F"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a team of technical specialists to deliver consistent, high</w:t>
      </w:r>
      <w:r>
        <w:rPr>
          <w:rFonts w:ascii="Calibri" w:eastAsia="Times New Roman" w:hAnsi="Calibri" w:cs="Calibri"/>
        </w:rPr>
        <w:noBreakHyphen/>
        <w:t>quality advice on Affordable Housing products and programmes.</w:t>
      </w:r>
    </w:p>
    <w:p w14:paraId="51C09DB8"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Oversee development and governance of operational policy frameworks, including ownership of the Capital Funding Guide.</w:t>
      </w:r>
    </w:p>
    <w:p w14:paraId="656F7C0D"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the design and development of new Affordable Housing products and funding initiatives aligned to organisational priorities.</w:t>
      </w:r>
    </w:p>
    <w:p w14:paraId="00F6E142"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programme management oversight to ensure effective and compliant delivery of Affordable Housing grant programmes.</w:t>
      </w:r>
    </w:p>
    <w:p w14:paraId="1A2C4EFC"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maintain strategic partnerships across the Agency and external bodies to support effective product development and delivery.</w:t>
      </w:r>
    </w:p>
    <w:p w14:paraId="30DEE141"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resolve complex technical and operational issues to support successful programme delivery and improvement.</w:t>
      </w:r>
    </w:p>
    <w:p w14:paraId="7174596F"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sector intelligence and regulatory developments to inform product evolution and strategic decision</w:t>
      </w:r>
      <w:r>
        <w:rPr>
          <w:rFonts w:ascii="Calibri" w:eastAsia="Times New Roman" w:hAnsi="Calibri" w:cs="Calibri"/>
        </w:rPr>
        <w:noBreakHyphen/>
        <w:t>making.</w:t>
      </w:r>
    </w:p>
    <w:p w14:paraId="1797DF37"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Drive continuous improvement across systems, guidance and assessment frameworks to enhance efficiency and impact.</w:t>
      </w:r>
    </w:p>
    <w:p w14:paraId="385B01CB"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clear, authoritative technical advice to senior leaders, Government teams and delivery partners.</w:t>
      </w:r>
    </w:p>
    <w:p w14:paraId="1660A729" w14:textId="77777777" w:rsidR="001A190D" w:rsidRDefault="001A190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Represent the Agency in cross</w:t>
      </w:r>
      <w:r>
        <w:rPr>
          <w:rFonts w:ascii="Calibri" w:eastAsia="Times New Roman" w:hAnsi="Calibri" w:cs="Calibri"/>
        </w:rPr>
        <w:noBreakHyphen/>
        <w:t>government and sector forums to influence policy direction and strengthen collaborative working.</w:t>
      </w:r>
    </w:p>
    <w:p w14:paraId="14F97E47" w14:textId="77777777" w:rsidR="001A190D" w:rsidRDefault="001A190D">
      <w:pPr>
        <w:pStyle w:val="Heading2"/>
        <w:rPr>
          <w:rFonts w:ascii="Calibri" w:eastAsia="Times New Roman" w:hAnsi="Calibri" w:cs="Calibri"/>
        </w:rPr>
      </w:pPr>
      <w:r>
        <w:rPr>
          <w:rFonts w:ascii="Calibri" w:eastAsia="Times New Roman" w:hAnsi="Calibri" w:cs="Calibri"/>
        </w:rPr>
        <w:t>Additional information</w:t>
      </w:r>
    </w:p>
    <w:p w14:paraId="426E2DFA" w14:textId="77777777" w:rsidR="001A190D" w:rsidRDefault="001A190D">
      <w:pPr>
        <w:pStyle w:val="Heading3"/>
        <w:rPr>
          <w:rFonts w:ascii="Calibri" w:eastAsia="Times New Roman" w:hAnsi="Calibri" w:cs="Calibri"/>
        </w:rPr>
      </w:pPr>
      <w:r>
        <w:rPr>
          <w:rFonts w:ascii="Calibri" w:eastAsia="Times New Roman" w:hAnsi="Calibri" w:cs="Calibri"/>
        </w:rPr>
        <w:t>Qualifications, knowledge and experience</w:t>
      </w:r>
    </w:p>
    <w:p w14:paraId="17E6B4E7"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t>Relevant degree, professional qualification or equivalent experience within housing, development or a related technical field.</w:t>
      </w:r>
    </w:p>
    <w:p w14:paraId="08B6B6AC"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t>Strong technical understanding of affordable housing grant programmes, operational policy and funding products.</w:t>
      </w:r>
    </w:p>
    <w:p w14:paraId="648A932A"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t>Knowledge of the affordable housing sector, including regulation, delivery models and Government housing objectives.</w:t>
      </w:r>
    </w:p>
    <w:p w14:paraId="333C9251"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lastRenderedPageBreak/>
        <w:t>Experience leading technical or specialist teams to deliver high</w:t>
      </w:r>
      <w:r>
        <w:rPr>
          <w:rFonts w:ascii="Calibri" w:eastAsia="Times New Roman" w:hAnsi="Calibri" w:cs="Calibri"/>
        </w:rPr>
        <w:noBreakHyphen/>
        <w:t>quality advisory and programme support.</w:t>
      </w:r>
    </w:p>
    <w:p w14:paraId="35C60205"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t>Experience in designing or delivering affordable housing products or funding initiatives.</w:t>
      </w:r>
    </w:p>
    <w:p w14:paraId="0848566E"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t>Experience managing relationships with Government departments, sector bodies and delivery partners.</w:t>
      </w:r>
    </w:p>
    <w:p w14:paraId="5A2880EB"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t>Experience of programme management within a housing, investment or public sector environment.</w:t>
      </w:r>
    </w:p>
    <w:p w14:paraId="5EE691BC"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t>Ability to develop, manage and improve operational policy frameworks, guidance and associated systems.</w:t>
      </w:r>
    </w:p>
    <w:p w14:paraId="4E71B562" w14:textId="77777777" w:rsidR="001A190D" w:rsidRDefault="001A190D">
      <w:pPr>
        <w:numPr>
          <w:ilvl w:val="0"/>
          <w:numId w:val="2"/>
        </w:numPr>
        <w:spacing w:before="100" w:beforeAutospacing="1" w:after="100" w:afterAutospacing="1"/>
        <w:divId w:val="1026368040"/>
        <w:rPr>
          <w:rFonts w:ascii="Calibri" w:eastAsia="Times New Roman" w:hAnsi="Calibri" w:cs="Calibri"/>
        </w:rPr>
      </w:pPr>
      <w:r>
        <w:rPr>
          <w:rFonts w:ascii="Calibri" w:eastAsia="Times New Roman" w:hAnsi="Calibri" w:cs="Calibri"/>
        </w:rPr>
        <w:t>Ability to analyse data, policy and market intelligence to inform decision</w:t>
      </w:r>
      <w:r>
        <w:rPr>
          <w:rFonts w:ascii="Calibri" w:eastAsia="Times New Roman" w:hAnsi="Calibri" w:cs="Calibri"/>
        </w:rPr>
        <w:noBreakHyphen/>
        <w:t>making and product development.</w:t>
      </w:r>
    </w:p>
    <w:p w14:paraId="7B485381" w14:textId="77777777" w:rsidR="001A190D" w:rsidRDefault="001A190D">
      <w:pPr>
        <w:pStyle w:val="Heading2"/>
        <w:divId w:val="894047037"/>
        <w:rPr>
          <w:rFonts w:ascii="Calibri" w:eastAsia="Times New Roman" w:hAnsi="Calibri" w:cs="Calibri"/>
          <w:sz w:val="36"/>
          <w:szCs w:val="36"/>
        </w:rPr>
      </w:pPr>
      <w:r>
        <w:rPr>
          <w:rFonts w:ascii="Calibri" w:eastAsia="Times New Roman" w:hAnsi="Calibri" w:cs="Calibri"/>
        </w:rPr>
        <w:t>Job Function / Family</w:t>
      </w:r>
    </w:p>
    <w:p w14:paraId="20B87314" w14:textId="77777777" w:rsidR="001A190D" w:rsidRDefault="001A190D">
      <w:pPr>
        <w:divId w:val="894047037"/>
        <w:rPr>
          <w:rFonts w:ascii="Calibri" w:eastAsiaTheme="minorEastAsia" w:hAnsi="Calibri" w:cs="Calibri"/>
        </w:rPr>
      </w:pPr>
      <w:r>
        <w:rPr>
          <w:rFonts w:ascii="Calibri" w:hAnsi="Calibri" w:cs="Calibri"/>
          <w:b/>
          <w:bCs/>
        </w:rPr>
        <w:t>HG Strategy and Product Development</w:t>
      </w:r>
      <w:r>
        <w:rPr>
          <w:rFonts w:ascii="Calibri" w:hAnsi="Calibri" w:cs="Calibri"/>
        </w:rPr>
        <w:t xml:space="preserve"> </w:t>
      </w:r>
      <w:r>
        <w:rPr>
          <w:rFonts w:ascii="Calibri" w:hAnsi="Calibri" w:cs="Calibri"/>
        </w:rPr>
        <w:t>: We are responsible for Affordable Housing fund business case development and the development, management and enhancement of funding programmes and products as well as whole fund modelling assumptions. We lead on the design and operationalisation of new Affordable Housing programmes and products including strategic and operational policy. In addition, we are responsible for the strategic performance management of programmes reporting to key internal and government stakeholders. We are innovative and have e</w:t>
      </w:r>
      <w:r>
        <w:rPr>
          <w:rFonts w:ascii="Calibri" w:hAnsi="Calibri" w:cs="Calibri"/>
        </w:rPr>
        <w:t>xcellent communication and relationship management across government departments and key stakeholders. This is a key strength, present in all the Housing Grant job families, enabling us to convert policy ambitions into delivery of Affordable Housing.</w:t>
      </w:r>
      <w:r>
        <w:rPr>
          <w:rFonts w:ascii="Calibri" w:hAnsi="Calibri" w:cs="Calibri"/>
        </w:rPr>
        <w:t xml:space="preserve"> </w:t>
      </w:r>
    </w:p>
    <w:p w14:paraId="5F237971" w14:textId="77777777" w:rsidR="001A190D" w:rsidRDefault="001A190D">
      <w:pPr>
        <w:spacing w:after="0"/>
        <w:divId w:val="1315720998"/>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2BD957BA" w14:textId="77777777">
        <w:trPr>
          <w:divId w:val="1315720998"/>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5385892A"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B38C17F" w14:textId="77777777">
                    <w:tc>
                      <w:tcPr>
                        <w:tcW w:w="0" w:type="auto"/>
                        <w:vAlign w:val="center"/>
                        <w:hideMark/>
                      </w:tcPr>
                      <w:p w14:paraId="6EF6C036" w14:textId="77777777" w:rsidR="001A190D" w:rsidRDefault="001A190D">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1B63CB94" w14:textId="77777777" w:rsidR="001A190D" w:rsidRDefault="001A190D">
                  <w:pPr>
                    <w:pStyle w:val="legend-table"/>
                    <w:rPr>
                      <w:rFonts w:ascii="Calibri" w:eastAsia="Times New Roman" w:hAnsi="Calibri" w:cs="Calibri"/>
                    </w:rPr>
                  </w:pPr>
                </w:p>
              </w:tc>
              <w:tc>
                <w:tcPr>
                  <w:tcW w:w="0" w:type="auto"/>
                  <w:vAlign w:val="center"/>
                  <w:hideMark/>
                </w:tcPr>
                <w:p w14:paraId="5E85A735" w14:textId="77777777" w:rsidR="001A190D" w:rsidRDefault="001A190D">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7E39B64" w14:textId="77777777">
                    <w:tc>
                      <w:tcPr>
                        <w:tcW w:w="0" w:type="auto"/>
                        <w:vAlign w:val="center"/>
                        <w:hideMark/>
                      </w:tcPr>
                      <w:p w14:paraId="486C902B" w14:textId="77777777" w:rsidR="001A190D" w:rsidRDefault="001A190D">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41CCEFAB" w14:textId="77777777" w:rsidR="001A190D" w:rsidRDefault="001A190D">
                  <w:pPr>
                    <w:pStyle w:val="legend-table"/>
                    <w:rPr>
                      <w:rFonts w:ascii="Calibri" w:eastAsia="Times New Roman" w:hAnsi="Calibri" w:cs="Calibri"/>
                    </w:rPr>
                  </w:pPr>
                </w:p>
              </w:tc>
              <w:tc>
                <w:tcPr>
                  <w:tcW w:w="0" w:type="auto"/>
                  <w:vAlign w:val="center"/>
                  <w:hideMark/>
                </w:tcPr>
                <w:p w14:paraId="6E1350A1" w14:textId="77777777" w:rsidR="001A190D" w:rsidRDefault="001A190D">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7D1DCBD" w14:textId="77777777">
                    <w:tc>
                      <w:tcPr>
                        <w:tcW w:w="0" w:type="auto"/>
                        <w:vAlign w:val="center"/>
                        <w:hideMark/>
                      </w:tcPr>
                      <w:p w14:paraId="760924B3" w14:textId="77777777" w:rsidR="001A190D" w:rsidRDefault="001A190D">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290E264A" w14:textId="77777777" w:rsidR="001A190D" w:rsidRDefault="001A190D">
                  <w:pPr>
                    <w:pStyle w:val="legend-table"/>
                    <w:rPr>
                      <w:rFonts w:ascii="Calibri" w:eastAsia="Times New Roman" w:hAnsi="Calibri" w:cs="Calibri"/>
                    </w:rPr>
                  </w:pPr>
                </w:p>
              </w:tc>
              <w:tc>
                <w:tcPr>
                  <w:tcW w:w="0" w:type="auto"/>
                  <w:vAlign w:val="center"/>
                  <w:hideMark/>
                </w:tcPr>
                <w:p w14:paraId="1EDFA061" w14:textId="77777777" w:rsidR="001A190D" w:rsidRDefault="001A190D">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36F15B69" w14:textId="77777777">
                    <w:tc>
                      <w:tcPr>
                        <w:tcW w:w="0" w:type="auto"/>
                        <w:vAlign w:val="center"/>
                        <w:hideMark/>
                      </w:tcPr>
                      <w:p w14:paraId="04186543" w14:textId="77777777" w:rsidR="001A190D" w:rsidRDefault="001A190D">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644C9B17" w14:textId="77777777" w:rsidR="001A190D" w:rsidRDefault="001A190D">
                  <w:pPr>
                    <w:pStyle w:val="legend-table"/>
                    <w:rPr>
                      <w:rFonts w:ascii="Calibri" w:eastAsia="Times New Roman" w:hAnsi="Calibri" w:cs="Calibri"/>
                    </w:rPr>
                  </w:pPr>
                </w:p>
              </w:tc>
              <w:tc>
                <w:tcPr>
                  <w:tcW w:w="0" w:type="auto"/>
                  <w:vAlign w:val="center"/>
                  <w:hideMark/>
                </w:tcPr>
                <w:p w14:paraId="69E6BA4A" w14:textId="77777777" w:rsidR="001A190D" w:rsidRDefault="001A190D">
                  <w:pPr>
                    <w:pStyle w:val="legend-table"/>
                    <w:rPr>
                      <w:rFonts w:ascii="Calibri" w:eastAsia="Times New Roman" w:hAnsi="Calibri" w:cs="Calibri"/>
                    </w:rPr>
                  </w:pPr>
                  <w:r>
                    <w:rPr>
                      <w:rFonts w:ascii="Calibri" w:eastAsia="Times New Roman" w:hAnsi="Calibri" w:cs="Calibri"/>
                    </w:rPr>
                    <w:t>Not assessable</w:t>
                  </w:r>
                </w:p>
              </w:tc>
            </w:tr>
          </w:tbl>
          <w:p w14:paraId="44EBF9C2" w14:textId="77777777" w:rsidR="001A190D" w:rsidRDefault="001A190D">
            <w:pPr>
              <w:spacing w:after="0"/>
              <w:rPr>
                <w:rFonts w:ascii="Calibri" w:hAnsi="Calibri" w:cs="Calibri"/>
              </w:rPr>
            </w:pPr>
          </w:p>
        </w:tc>
      </w:tr>
    </w:tbl>
    <w:p w14:paraId="4C0742A7" w14:textId="77777777" w:rsidR="001A190D" w:rsidRDefault="001A190D">
      <w:pPr>
        <w:spacing w:after="0"/>
        <w:divId w:val="1315720998"/>
        <w:rPr>
          <w:rFonts w:eastAsia="Times New Roman"/>
        </w:rPr>
      </w:pPr>
    </w:p>
    <w:p w14:paraId="4D94D077" w14:textId="77777777" w:rsidR="009678A9" w:rsidRDefault="009678A9">
      <w:r>
        <w:br w:type="page"/>
      </w:r>
    </w:p>
    <w:p w14:paraId="610E503A"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03FB8" w14:textId="77777777" w:rsidR="001A190D" w:rsidRDefault="001A190D" w:rsidP="0091124A">
      <w:pPr>
        <w:spacing w:after="0"/>
      </w:pPr>
      <w:r>
        <w:separator/>
      </w:r>
    </w:p>
  </w:endnote>
  <w:endnote w:type="continuationSeparator" w:id="0">
    <w:p w14:paraId="20EE9901" w14:textId="77777777" w:rsidR="001A190D" w:rsidRDefault="001A190D"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006F0" w14:textId="0C6ABDE3" w:rsidR="002F3810" w:rsidRDefault="00EF69E0">
    <w:pPr>
      <w:pStyle w:val="Footer"/>
    </w:pPr>
    <w:r>
      <w:rPr>
        <w:noProof/>
      </w:rPr>
      <mc:AlternateContent>
        <mc:Choice Requires="wps">
          <w:drawing>
            <wp:anchor distT="0" distB="0" distL="0" distR="0" simplePos="0" relativeHeight="251662336" behindDoc="0" locked="0" layoutInCell="1" allowOverlap="1" wp14:anchorId="760358B2" wp14:editId="06C45BFD">
              <wp:simplePos x="635" y="635"/>
              <wp:positionH relativeFrom="page">
                <wp:align>center</wp:align>
              </wp:positionH>
              <wp:positionV relativeFrom="page">
                <wp:align>bottom</wp:align>
              </wp:positionV>
              <wp:extent cx="518795" cy="345440"/>
              <wp:effectExtent l="0" t="0" r="14605" b="0"/>
              <wp:wrapNone/>
              <wp:docPr id="184666779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FD2F215" w14:textId="2A9DBFBC"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0358B2"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0FD2F215" w14:textId="2A9DBFBC"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D1375" w14:textId="77777777" w:rsidR="00EF69E0" w:rsidRDefault="00EF69E0">
    <w:pPr>
      <w:pStyle w:val="Footer"/>
      <w:jc w:val="center"/>
    </w:pPr>
    <w:r>
      <w:rPr>
        <w:noProof/>
      </w:rPr>
      <mc:AlternateContent>
        <mc:Choice Requires="wps">
          <w:drawing>
            <wp:anchor distT="0" distB="0" distL="0" distR="0" simplePos="0" relativeHeight="251663360" behindDoc="0" locked="0" layoutInCell="1" allowOverlap="1" wp14:anchorId="58F59BDB" wp14:editId="796A3094">
              <wp:simplePos x="457200" y="9648825"/>
              <wp:positionH relativeFrom="page">
                <wp:align>center</wp:align>
              </wp:positionH>
              <wp:positionV relativeFrom="page">
                <wp:align>bottom</wp:align>
              </wp:positionV>
              <wp:extent cx="518795" cy="345440"/>
              <wp:effectExtent l="0" t="0" r="14605" b="0"/>
              <wp:wrapNone/>
              <wp:docPr id="172343172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3976F29" w14:textId="73905062"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F59BDB"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53976F29" w14:textId="73905062"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06E04F63" w14:textId="0268AD4D"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66524967"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DD35F1">
          <w:rPr>
            <w:noProof/>
            <w:color w:val="A6A6A6" w:themeColor="background1" w:themeShade="A6"/>
            <w:sz w:val="16"/>
            <w:szCs w:val="16"/>
          </w:rPr>
          <w:t>2026</w:t>
        </w:r>
        <w:r>
          <w:rPr>
            <w:color w:val="A6A6A6" w:themeColor="background1" w:themeShade="A6"/>
            <w:sz w:val="16"/>
            <w:szCs w:val="16"/>
          </w:rPr>
          <w:fldChar w:fldCharType="end"/>
        </w:r>
      </w:p>
    </w:sdtContent>
  </w:sdt>
  <w:p w14:paraId="7DD6D659"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6F05E" w14:textId="0688AF91" w:rsidR="002F3810" w:rsidRDefault="00EF69E0">
    <w:pPr>
      <w:pStyle w:val="Footer"/>
    </w:pPr>
    <w:r>
      <w:rPr>
        <w:noProof/>
      </w:rPr>
      <mc:AlternateContent>
        <mc:Choice Requires="wps">
          <w:drawing>
            <wp:anchor distT="0" distB="0" distL="0" distR="0" simplePos="0" relativeHeight="251661312" behindDoc="0" locked="0" layoutInCell="1" allowOverlap="1" wp14:anchorId="44C3FFE1" wp14:editId="13DEDFBB">
              <wp:simplePos x="635" y="635"/>
              <wp:positionH relativeFrom="page">
                <wp:align>center</wp:align>
              </wp:positionH>
              <wp:positionV relativeFrom="page">
                <wp:align>bottom</wp:align>
              </wp:positionV>
              <wp:extent cx="518795" cy="345440"/>
              <wp:effectExtent l="0" t="0" r="14605" b="0"/>
              <wp:wrapNone/>
              <wp:docPr id="93696943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DFB65EA" w14:textId="1081A345"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3FFE1"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5DFB65EA" w14:textId="1081A345"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A4776" w14:textId="77777777" w:rsidR="001A190D" w:rsidRDefault="001A190D" w:rsidP="0091124A">
      <w:pPr>
        <w:spacing w:after="0"/>
      </w:pPr>
      <w:r>
        <w:separator/>
      </w:r>
    </w:p>
  </w:footnote>
  <w:footnote w:type="continuationSeparator" w:id="0">
    <w:p w14:paraId="08DC73B3" w14:textId="77777777" w:rsidR="001A190D" w:rsidRDefault="001A190D"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A0025" w14:textId="7D17FBCA" w:rsidR="002F3810" w:rsidRDefault="00EF69E0">
    <w:pPr>
      <w:pStyle w:val="Header"/>
    </w:pPr>
    <w:r>
      <w:rPr>
        <w:noProof/>
      </w:rPr>
      <mc:AlternateContent>
        <mc:Choice Requires="wps">
          <w:drawing>
            <wp:anchor distT="0" distB="0" distL="0" distR="0" simplePos="0" relativeHeight="251659264" behindDoc="0" locked="0" layoutInCell="1" allowOverlap="1" wp14:anchorId="1C2362FB" wp14:editId="05C5C9EC">
              <wp:simplePos x="635" y="635"/>
              <wp:positionH relativeFrom="page">
                <wp:align>center</wp:align>
              </wp:positionH>
              <wp:positionV relativeFrom="page">
                <wp:align>top</wp:align>
              </wp:positionV>
              <wp:extent cx="518795" cy="345440"/>
              <wp:effectExtent l="0" t="0" r="14605" b="16510"/>
              <wp:wrapNone/>
              <wp:docPr id="182104149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E8812E2" w14:textId="35492372"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C2362F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2E8812E2" w14:textId="35492372"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4C3CF668" w14:textId="77777777" w:rsidTr="003F426E">
      <w:tc>
        <w:tcPr>
          <w:tcW w:w="2442" w:type="pct"/>
          <w:tcBorders>
            <w:bottom w:val="single" w:sz="4" w:space="0" w:color="auto"/>
          </w:tcBorders>
        </w:tcPr>
        <w:p w14:paraId="06786C0F" w14:textId="20D83D47" w:rsidR="001A4FDD" w:rsidRPr="004D5782" w:rsidRDefault="00EF69E0"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22B389DD" wp14:editId="10A8E6ED">
                    <wp:simplePos x="523875" y="447675"/>
                    <wp:positionH relativeFrom="page">
                      <wp:align>center</wp:align>
                    </wp:positionH>
                    <wp:positionV relativeFrom="page">
                      <wp:align>top</wp:align>
                    </wp:positionV>
                    <wp:extent cx="518795" cy="345440"/>
                    <wp:effectExtent l="0" t="0" r="14605" b="16510"/>
                    <wp:wrapNone/>
                    <wp:docPr id="17272675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AEBBEE7" w14:textId="21077943"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2B389DD"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5AEBBEE7" w14:textId="21077943"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54D62A81"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AH Programmes and Products - Head</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37297367"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6B3790BB" wp14:editId="4DB84D25">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59C5D244"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5E509" w14:textId="74237EDA" w:rsidR="002F3810" w:rsidRDefault="00EF69E0">
    <w:pPr>
      <w:pStyle w:val="Header"/>
    </w:pPr>
    <w:r>
      <w:rPr>
        <w:noProof/>
      </w:rPr>
      <mc:AlternateContent>
        <mc:Choice Requires="wps">
          <w:drawing>
            <wp:anchor distT="0" distB="0" distL="0" distR="0" simplePos="0" relativeHeight="251658240" behindDoc="0" locked="0" layoutInCell="1" allowOverlap="1" wp14:anchorId="10C67034" wp14:editId="0AE1DC21">
              <wp:simplePos x="635" y="635"/>
              <wp:positionH relativeFrom="page">
                <wp:align>center</wp:align>
              </wp:positionH>
              <wp:positionV relativeFrom="page">
                <wp:align>top</wp:align>
              </wp:positionV>
              <wp:extent cx="518795" cy="345440"/>
              <wp:effectExtent l="0" t="0" r="14605" b="16510"/>
              <wp:wrapNone/>
              <wp:docPr id="80886364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B38893E" w14:textId="32F5C745"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0C67034"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2B38893E" w14:textId="32F5C745" w:rsidR="00EF69E0" w:rsidRPr="00EF69E0" w:rsidRDefault="00EF69E0" w:rsidP="00EF69E0">
                    <w:pPr>
                      <w:spacing w:after="0"/>
                      <w:rPr>
                        <w:rFonts w:ascii="Aptos" w:eastAsia="Aptos" w:hAnsi="Aptos" w:cs="Aptos"/>
                        <w:noProof/>
                        <w:color w:val="000000"/>
                        <w:sz w:val="20"/>
                        <w:szCs w:val="20"/>
                      </w:rPr>
                    </w:pPr>
                    <w:r w:rsidRPr="00EF69E0">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CA1DD1"/>
    <w:multiLevelType w:val="multilevel"/>
    <w:tmpl w:val="1D92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531ECB"/>
    <w:multiLevelType w:val="multilevel"/>
    <w:tmpl w:val="345C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858603">
    <w:abstractNumId w:val="0"/>
  </w:num>
  <w:num w:numId="2" w16cid:durableId="1700354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190D"/>
    <w:rsid w:val="001A4F51"/>
    <w:rsid w:val="001A4FDD"/>
    <w:rsid w:val="001B6A9A"/>
    <w:rsid w:val="001C680B"/>
    <w:rsid w:val="0027503F"/>
    <w:rsid w:val="002F3810"/>
    <w:rsid w:val="00335F4C"/>
    <w:rsid w:val="00372C10"/>
    <w:rsid w:val="00373D6A"/>
    <w:rsid w:val="003F09C7"/>
    <w:rsid w:val="003F426E"/>
    <w:rsid w:val="00491DDC"/>
    <w:rsid w:val="004D5782"/>
    <w:rsid w:val="0054788A"/>
    <w:rsid w:val="005A2493"/>
    <w:rsid w:val="00604C02"/>
    <w:rsid w:val="00666A8A"/>
    <w:rsid w:val="007D1419"/>
    <w:rsid w:val="0087021E"/>
    <w:rsid w:val="00896053"/>
    <w:rsid w:val="008D2E47"/>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A2036"/>
    <w:rsid w:val="00CC606A"/>
    <w:rsid w:val="00CC73C7"/>
    <w:rsid w:val="00CF4BE2"/>
    <w:rsid w:val="00DD35F1"/>
    <w:rsid w:val="00E05B7F"/>
    <w:rsid w:val="00E65BAF"/>
    <w:rsid w:val="00E94477"/>
    <w:rsid w:val="00EE1F99"/>
    <w:rsid w:val="00EF69E0"/>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56D9E"/>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047037">
      <w:bodyDiv w:val="1"/>
      <w:marLeft w:val="0"/>
      <w:marRight w:val="0"/>
      <w:marTop w:val="0"/>
      <w:marBottom w:val="0"/>
      <w:divBdr>
        <w:top w:val="none" w:sz="0" w:space="0" w:color="auto"/>
        <w:left w:val="none" w:sz="0" w:space="0" w:color="auto"/>
        <w:bottom w:val="none" w:sz="0" w:space="0" w:color="auto"/>
        <w:right w:val="none" w:sz="0" w:space="0" w:color="auto"/>
      </w:divBdr>
    </w:div>
    <w:div w:id="1026368040">
      <w:marLeft w:val="0"/>
      <w:marRight w:val="0"/>
      <w:marTop w:val="0"/>
      <w:marBottom w:val="0"/>
      <w:divBdr>
        <w:top w:val="none" w:sz="0" w:space="0" w:color="auto"/>
        <w:left w:val="none" w:sz="0" w:space="0" w:color="auto"/>
        <w:bottom w:val="none" w:sz="0" w:space="0" w:color="auto"/>
        <w:right w:val="none" w:sz="0" w:space="0" w:color="auto"/>
      </w:divBdr>
    </w:div>
    <w:div w:id="1035278184">
      <w:marLeft w:val="0"/>
      <w:marRight w:val="0"/>
      <w:marTop w:val="0"/>
      <w:marBottom w:val="0"/>
      <w:divBdr>
        <w:top w:val="none" w:sz="0" w:space="0" w:color="auto"/>
        <w:left w:val="none" w:sz="0" w:space="0" w:color="auto"/>
        <w:bottom w:val="none" w:sz="0" w:space="0" w:color="auto"/>
        <w:right w:val="none" w:sz="0" w:space="0" w:color="auto"/>
      </w:divBdr>
      <w:divsChild>
        <w:div w:id="1084105932">
          <w:marLeft w:val="0"/>
          <w:marRight w:val="0"/>
          <w:marTop w:val="0"/>
          <w:marBottom w:val="0"/>
          <w:divBdr>
            <w:top w:val="none" w:sz="0" w:space="0" w:color="auto"/>
            <w:left w:val="none" w:sz="0" w:space="0" w:color="auto"/>
            <w:bottom w:val="none" w:sz="0" w:space="0" w:color="auto"/>
            <w:right w:val="none" w:sz="0" w:space="0" w:color="auto"/>
          </w:divBdr>
        </w:div>
      </w:divsChild>
    </w:div>
    <w:div w:id="2082867542">
      <w:bodyDiv w:val="1"/>
      <w:marLeft w:val="0"/>
      <w:marRight w:val="0"/>
      <w:marTop w:val="0"/>
      <w:marBottom w:val="0"/>
      <w:divBdr>
        <w:top w:val="none" w:sz="0" w:space="0" w:color="auto"/>
        <w:left w:val="none" w:sz="0" w:space="0" w:color="auto"/>
        <w:bottom w:val="none" w:sz="0" w:space="0" w:color="auto"/>
        <w:right w:val="none" w:sz="0" w:space="0" w:color="auto"/>
      </w:divBdr>
      <w:divsChild>
        <w:div w:id="1315720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614</Words>
  <Characters>3505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Gareth Phipps-Williams</cp:lastModifiedBy>
  <cp:revision>2</cp:revision>
  <dcterms:created xsi:type="dcterms:W3CDTF">2026-09-15T10:42:00Z</dcterms:created>
  <dcterms:modified xsi:type="dcterms:W3CDTF">2026-09-15T10:42:00Z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30364798,6c8ae356,a4b99de</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37d904da,6e11ea13,66b97b2d</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2026-09-15T10:42:12Z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a6754e4c-5aa9-4940-82ee-4844c786380b</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