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645DA" w14:textId="77777777" w:rsidR="006C021E" w:rsidRDefault="006C021E">
      <w:pPr>
        <w:pStyle w:val="Heading2"/>
        <w:rPr>
          <w:rFonts w:ascii="Calibri" w:eastAsia="Times New Roman" w:hAnsi="Calibri" w:cs="Calibri"/>
          <w:sz w:val="36"/>
          <w:szCs w:val="36"/>
        </w:rPr>
      </w:pPr>
      <w:r>
        <w:rPr>
          <w:rFonts w:ascii="Calibri" w:eastAsia="Times New Roman" w:hAnsi="Calibri" w:cs="Calibri"/>
        </w:rPr>
        <w:t>Job Code: RM00406</w:t>
      </w:r>
    </w:p>
    <w:p w14:paraId="0822894D" w14:textId="77777777" w:rsidR="006C021E" w:rsidRDefault="006C021E">
      <w:pPr>
        <w:pStyle w:val="Heading2"/>
        <w:divId w:val="1924726913"/>
        <w:rPr>
          <w:rFonts w:ascii="Calibri" w:eastAsia="Times New Roman" w:hAnsi="Calibri" w:cs="Calibri"/>
          <w:color w:val="000000"/>
        </w:rPr>
      </w:pPr>
      <w:r>
        <w:rPr>
          <w:rFonts w:ascii="Calibri" w:eastAsia="Times New Roman" w:hAnsi="Calibri" w:cs="Calibri"/>
          <w:color w:val="000000"/>
        </w:rPr>
        <w:t>Role Purpose</w:t>
      </w:r>
    </w:p>
    <w:p w14:paraId="2FF9FEEE" w14:textId="77777777" w:rsidR="006C021E" w:rsidRDefault="006C021E">
      <w:pPr>
        <w:spacing w:after="0"/>
        <w:divId w:val="794376182"/>
        <w:rPr>
          <w:rFonts w:ascii="Calibri" w:eastAsia="Times New Roman" w:hAnsi="Calibri" w:cs="Calibri"/>
          <w:color w:val="000000"/>
        </w:rPr>
      </w:pPr>
      <w:r>
        <w:rPr>
          <w:rFonts w:ascii="Calibri" w:eastAsia="Times New Roman" w:hAnsi="Calibri" w:cs="Calibri"/>
          <w:color w:val="000000"/>
        </w:rPr>
        <w:t>The role holder acts as a bridge between policy, strategy and delivery, and contributes to unlocking housing delivery through strategic interventions, robust planning and collaborative working across government departments and industry partners.</w:t>
      </w:r>
      <w:r>
        <w:rPr>
          <w:rFonts w:ascii="Calibri" w:eastAsia="Times New Roman" w:hAnsi="Calibri" w:cs="Calibri"/>
          <w:color w:val="000000"/>
        </w:rPr>
        <w:br/>
      </w:r>
      <w:r>
        <w:rPr>
          <w:rFonts w:ascii="Calibri" w:eastAsia="Times New Roman" w:hAnsi="Calibri" w:cs="Calibri"/>
          <w:color w:val="000000"/>
        </w:rPr>
        <w:br/>
        <w:t>The role provides expert advice on development strategy, funding mechanisms and land assembly, helping to shape place-based solutions that address market failures and accelerate delivery. The role drives market change and enable housing growth through strategic leadership and evidence-based decision-making.</w:t>
      </w:r>
      <w:r>
        <w:rPr>
          <w:rFonts w:ascii="Calibri" w:eastAsia="Times New Roman" w:hAnsi="Calibri" w:cs="Calibri"/>
          <w:color w:val="000000"/>
        </w:rPr>
        <w:br/>
      </w:r>
      <w:r>
        <w:rPr>
          <w:rFonts w:ascii="Calibri" w:eastAsia="Times New Roman" w:hAnsi="Calibri" w:cs="Calibri"/>
          <w:color w:val="000000"/>
        </w:rPr>
        <w:br/>
        <w:t>The role consistently demonstrates and embeds the values and behaviours in daily work, contributing to a positive and inclusive culture.</w:t>
      </w:r>
    </w:p>
    <w:p w14:paraId="24B5AD88" w14:textId="77777777" w:rsidR="006C021E" w:rsidRDefault="006C021E">
      <w:pPr>
        <w:pStyle w:val="Heading2"/>
        <w:rPr>
          <w:rFonts w:ascii="Calibri" w:eastAsia="Times New Roman" w:hAnsi="Calibri" w:cs="Calibri"/>
        </w:rPr>
      </w:pPr>
      <w:r>
        <w:rPr>
          <w:rFonts w:ascii="Calibri" w:eastAsia="Times New Roman" w:hAnsi="Calibri" w:cs="Calibri"/>
        </w:rPr>
        <w:t>Responsibilities</w:t>
      </w:r>
    </w:p>
    <w:p w14:paraId="68CEEF4E"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strategic input into complex housing and infrastructure projects, applying expert commercial and development knowledge.</w:t>
      </w:r>
    </w:p>
    <w:p w14:paraId="65BF6650"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and support innovative funding packages and delivery models using the Agency’s full suite of products.</w:t>
      </w:r>
    </w:p>
    <w:p w14:paraId="7AC5093D"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guidance and mentoring to colleagues, supporting professional development and team contribution.</w:t>
      </w:r>
    </w:p>
    <w:p w14:paraId="740064DD"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market failures and strategic rationale for interventions to identify barriers and accelerate delivery.</w:t>
      </w:r>
    </w:p>
    <w:p w14:paraId="4E2A6E4A"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Commission and manage research and analysis to inform strategic decisions and build cross-government evidence bases.</w:t>
      </w:r>
    </w:p>
    <w:p w14:paraId="4CD5FE66"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Use data and technical expertise to justify decisions and secure approvals through committee papers and business cases.</w:t>
      </w:r>
    </w:p>
    <w:p w14:paraId="488D7003"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and manage strategic relationships with industry partners to identify collaboration opportunities and resolve challenges.</w:t>
      </w:r>
    </w:p>
    <w:p w14:paraId="750EFE93"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Represent the Strategic Projects Team across the Agency and government, delivering presentations and briefings.</w:t>
      </w:r>
    </w:p>
    <w:p w14:paraId="5B494549"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Foster collaborative working across government departments and delivery bodies to maximise opportunities.</w:t>
      </w:r>
    </w:p>
    <w:p w14:paraId="24F3F356" w14:textId="77777777" w:rsidR="006C021E" w:rsidRDefault="006C021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Coordinate with internal teams and stakeholders to ensure strategic alignment and effective communication.</w:t>
      </w:r>
    </w:p>
    <w:p w14:paraId="3DCB00B6" w14:textId="77777777" w:rsidR="006C021E" w:rsidRDefault="006C021E">
      <w:pPr>
        <w:pStyle w:val="Heading2"/>
        <w:rPr>
          <w:rFonts w:ascii="Calibri" w:eastAsia="Times New Roman" w:hAnsi="Calibri" w:cs="Calibri"/>
        </w:rPr>
      </w:pPr>
      <w:r>
        <w:rPr>
          <w:rFonts w:ascii="Calibri" w:eastAsia="Times New Roman" w:hAnsi="Calibri" w:cs="Calibri"/>
        </w:rPr>
        <w:t>Additional information</w:t>
      </w:r>
    </w:p>
    <w:p w14:paraId="2FE7111F" w14:textId="77777777" w:rsidR="006C021E" w:rsidRDefault="006C021E">
      <w:pPr>
        <w:pStyle w:val="Heading3"/>
        <w:rPr>
          <w:rFonts w:ascii="Calibri" w:eastAsia="Times New Roman" w:hAnsi="Calibri" w:cs="Calibri"/>
        </w:rPr>
      </w:pPr>
      <w:r>
        <w:rPr>
          <w:rFonts w:ascii="Calibri" w:eastAsia="Times New Roman" w:hAnsi="Calibri" w:cs="Calibri"/>
        </w:rPr>
        <w:t>Qualifications, knowledge and experience</w:t>
      </w:r>
    </w:p>
    <w:p w14:paraId="4E88A548"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t>Degree-level qualification or equivalent experience in surveying (MRICS), planning (RTPI), engineering, urban regeneration or finance.</w:t>
      </w:r>
    </w:p>
    <w:p w14:paraId="6B399EE2"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t>Proven experience in large-scale property or infrastructure projects, including land assembly and delivery models.</w:t>
      </w:r>
    </w:p>
    <w:p w14:paraId="1C913B3D"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t>Strong understanding of business case development, including Green Book compliance and value for money analysis.</w:t>
      </w:r>
    </w:p>
    <w:p w14:paraId="0A9A65CF"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t>Ability to analyse financial cashflows and appraisals; modelling experience is beneficial but not essential.</w:t>
      </w:r>
    </w:p>
    <w:p w14:paraId="60407716"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t>Knowledge of infrastructure economics and funding mechanisms to support housing development.</w:t>
      </w:r>
    </w:p>
    <w:p w14:paraId="24256C5F"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t>Experience in writing and supporting business cases for public investment.</w:t>
      </w:r>
    </w:p>
    <w:p w14:paraId="4ABB4922"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lastRenderedPageBreak/>
        <w:t>Experience in navigating fast-paced, ambiguous environments with evolving priorities.</w:t>
      </w:r>
    </w:p>
    <w:p w14:paraId="0DF18847"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t>Excellent stakeholder management and communication with a track record of influencing outcomes.</w:t>
      </w:r>
    </w:p>
    <w:p w14:paraId="0605C6FD"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t>Experience in coordinating diverse interests across public and private sectors to deliver strategic property solutions.</w:t>
      </w:r>
    </w:p>
    <w:p w14:paraId="26AF9E6B" w14:textId="77777777" w:rsidR="006C021E" w:rsidRDefault="006C021E">
      <w:pPr>
        <w:numPr>
          <w:ilvl w:val="0"/>
          <w:numId w:val="2"/>
        </w:numPr>
        <w:spacing w:before="100" w:beforeAutospacing="1" w:after="100" w:afterAutospacing="1"/>
        <w:divId w:val="1124688646"/>
        <w:rPr>
          <w:rFonts w:ascii="Calibri" w:eastAsia="Times New Roman" w:hAnsi="Calibri" w:cs="Calibri"/>
        </w:rPr>
      </w:pPr>
      <w:r>
        <w:rPr>
          <w:rFonts w:ascii="Calibri" w:eastAsia="Times New Roman" w:hAnsi="Calibri" w:cs="Calibri"/>
        </w:rPr>
        <w:t>Experience in analysing complex information and developing innovative solutions.</w:t>
      </w:r>
    </w:p>
    <w:p w14:paraId="3A5D45CA" w14:textId="77777777" w:rsidR="006C021E" w:rsidRDefault="006C021E">
      <w:pPr>
        <w:pStyle w:val="Heading2"/>
        <w:divId w:val="489715180"/>
        <w:rPr>
          <w:rFonts w:ascii="Calibri" w:eastAsia="Times New Roman" w:hAnsi="Calibri" w:cs="Calibri"/>
          <w:sz w:val="36"/>
          <w:szCs w:val="36"/>
        </w:rPr>
      </w:pPr>
      <w:r>
        <w:rPr>
          <w:rFonts w:ascii="Calibri" w:eastAsia="Times New Roman" w:hAnsi="Calibri" w:cs="Calibri"/>
        </w:rPr>
        <w:t>Job Function / Family</w:t>
      </w:r>
    </w:p>
    <w:p w14:paraId="274B24D6" w14:textId="77777777" w:rsidR="006C021E" w:rsidRDefault="006C021E">
      <w:pPr>
        <w:divId w:val="489715180"/>
        <w:rPr>
          <w:rFonts w:ascii="Calibri" w:eastAsiaTheme="minorEastAsia" w:hAnsi="Calibri" w:cs="Calibri"/>
        </w:rPr>
      </w:pPr>
      <w:r>
        <w:rPr>
          <w:rFonts w:ascii="Calibri" w:hAnsi="Calibri" w:cs="Calibri"/>
          <w:b/>
          <w:bCs/>
        </w:rPr>
        <w:t xml:space="preserve">Major Projects Strategy and </w:t>
      </w:r>
      <w:proofErr w:type="gramStart"/>
      <w:r>
        <w:rPr>
          <w:rFonts w:ascii="Calibri" w:hAnsi="Calibri" w:cs="Calibri"/>
          <w:b/>
          <w:bCs/>
        </w:rPr>
        <w:t>Transactions</w:t>
      </w:r>
      <w:r>
        <w:rPr>
          <w:rFonts w:ascii="Calibri" w:hAnsi="Calibri" w:cs="Calibri"/>
        </w:rPr>
        <w:t xml:space="preserve"> :</w:t>
      </w:r>
      <w:proofErr w:type="gramEnd"/>
      <w:r>
        <w:rPr>
          <w:rFonts w:ascii="Calibri" w:hAnsi="Calibri" w:cs="Calibri"/>
        </w:rPr>
        <w:t xml:space="preserve"> We provide a technical role supporting and challenging partners (public and private sector) on complex and / or large-scale development opportunities through stakeholder and agency collaboration, identifying the right intervention at the right grant amount (viability testing), developing the opportunity, delivery routes, and structuring the transactions followed by the legal negotiations and completion of the funding agreement. These roles can include working with stakeholders to bring forward these projects / developments, using our property and funding knowledge and skills to structure grant within complex funding arrangements, undertaking thorough due diligence work to test outputs and delivery, preparing 5-case business cases and other relevant documentation for approvals, and contracting the transactions. </w:t>
      </w:r>
    </w:p>
    <w:p w14:paraId="08D0E00A" w14:textId="77777777" w:rsidR="006C021E" w:rsidRDefault="006C021E">
      <w:pPr>
        <w:pStyle w:val="Heading2"/>
        <w:divId w:val="489715180"/>
        <w:rPr>
          <w:rFonts w:ascii="Calibri" w:eastAsia="Times New Roman" w:hAnsi="Calibri" w:cs="Calibri"/>
        </w:rPr>
      </w:pPr>
      <w:r>
        <w:rPr>
          <w:rFonts w:ascii="Calibri" w:eastAsia="Times New Roman" w:hAnsi="Calibri" w:cs="Calibri"/>
        </w:rPr>
        <w:t>Role Classification</w:t>
      </w:r>
    </w:p>
    <w:p w14:paraId="502F9F3F" w14:textId="77777777" w:rsidR="006C021E" w:rsidRDefault="006C021E">
      <w:pPr>
        <w:divId w:val="489715180"/>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17</w:t>
      </w:r>
      <w:r>
        <w:rPr>
          <w:rFonts w:ascii="Calibri" w:hAnsi="Calibri" w:cs="Calibri"/>
        </w:rPr>
        <w:t xml:space="preserve"> </w:t>
      </w:r>
    </w:p>
    <w:p w14:paraId="4DFD15E4" w14:textId="77777777" w:rsidR="006C021E" w:rsidRDefault="006C021E">
      <w:pPr>
        <w:divId w:val="489715180"/>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013DBC26" w14:textId="77777777" w:rsidR="006C021E" w:rsidRDefault="006C021E">
      <w:pPr>
        <w:spacing w:after="0"/>
        <w:divId w:val="1258753370"/>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1366B6" w14:paraId="46CA1E9A" w14:textId="77777777">
        <w:trPr>
          <w:divId w:val="125875337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1366B6" w14:paraId="373E77FC"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1366B6" w14:paraId="7EA3F655" w14:textId="77777777">
                    <w:tc>
                      <w:tcPr>
                        <w:tcW w:w="0" w:type="auto"/>
                        <w:vAlign w:val="center"/>
                        <w:hideMark/>
                      </w:tcPr>
                      <w:p w14:paraId="3867BBFF" w14:textId="77777777" w:rsidR="006C021E" w:rsidRDefault="006C021E">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732E183B" w14:textId="77777777" w:rsidR="006C021E" w:rsidRDefault="006C021E">
                  <w:pPr>
                    <w:pStyle w:val="legend-table"/>
                    <w:rPr>
                      <w:rFonts w:ascii="Calibri" w:eastAsia="Times New Roman" w:hAnsi="Calibri" w:cs="Calibri"/>
                    </w:rPr>
                  </w:pPr>
                </w:p>
              </w:tc>
              <w:tc>
                <w:tcPr>
                  <w:tcW w:w="0" w:type="auto"/>
                  <w:vAlign w:val="center"/>
                  <w:hideMark/>
                </w:tcPr>
                <w:p w14:paraId="4A648B4A" w14:textId="77777777" w:rsidR="006C021E" w:rsidRDefault="006C021E">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1366B6" w14:paraId="5A808D11" w14:textId="77777777">
                    <w:tc>
                      <w:tcPr>
                        <w:tcW w:w="0" w:type="auto"/>
                        <w:vAlign w:val="center"/>
                        <w:hideMark/>
                      </w:tcPr>
                      <w:p w14:paraId="0E407977" w14:textId="77777777" w:rsidR="006C021E" w:rsidRDefault="006C021E">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10B09FEB" w14:textId="77777777" w:rsidR="006C021E" w:rsidRDefault="006C021E">
                  <w:pPr>
                    <w:pStyle w:val="legend-table"/>
                    <w:rPr>
                      <w:rFonts w:ascii="Calibri" w:eastAsia="Times New Roman" w:hAnsi="Calibri" w:cs="Calibri"/>
                    </w:rPr>
                  </w:pPr>
                </w:p>
              </w:tc>
              <w:tc>
                <w:tcPr>
                  <w:tcW w:w="0" w:type="auto"/>
                  <w:vAlign w:val="center"/>
                  <w:hideMark/>
                </w:tcPr>
                <w:p w14:paraId="62F3AC92" w14:textId="77777777" w:rsidR="006C021E" w:rsidRDefault="006C021E">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1366B6" w14:paraId="0DBB391D" w14:textId="77777777">
                    <w:tc>
                      <w:tcPr>
                        <w:tcW w:w="0" w:type="auto"/>
                        <w:vAlign w:val="center"/>
                        <w:hideMark/>
                      </w:tcPr>
                      <w:p w14:paraId="393051B4" w14:textId="77777777" w:rsidR="006C021E" w:rsidRDefault="006C021E">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628AD564" w14:textId="77777777" w:rsidR="006C021E" w:rsidRDefault="006C021E">
                  <w:pPr>
                    <w:pStyle w:val="legend-table"/>
                    <w:rPr>
                      <w:rFonts w:ascii="Calibri" w:eastAsia="Times New Roman" w:hAnsi="Calibri" w:cs="Calibri"/>
                    </w:rPr>
                  </w:pPr>
                </w:p>
              </w:tc>
              <w:tc>
                <w:tcPr>
                  <w:tcW w:w="0" w:type="auto"/>
                  <w:vAlign w:val="center"/>
                  <w:hideMark/>
                </w:tcPr>
                <w:p w14:paraId="03293E97" w14:textId="77777777" w:rsidR="006C021E" w:rsidRDefault="006C021E">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1366B6" w14:paraId="643B8FD0" w14:textId="77777777">
                    <w:tc>
                      <w:tcPr>
                        <w:tcW w:w="0" w:type="auto"/>
                        <w:vAlign w:val="center"/>
                        <w:hideMark/>
                      </w:tcPr>
                      <w:p w14:paraId="6052D17D" w14:textId="77777777" w:rsidR="006C021E" w:rsidRDefault="006C021E">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5C090284" w14:textId="77777777" w:rsidR="006C021E" w:rsidRDefault="006C021E">
                  <w:pPr>
                    <w:pStyle w:val="legend-table"/>
                    <w:rPr>
                      <w:rFonts w:ascii="Calibri" w:eastAsia="Times New Roman" w:hAnsi="Calibri" w:cs="Calibri"/>
                    </w:rPr>
                  </w:pPr>
                </w:p>
              </w:tc>
              <w:tc>
                <w:tcPr>
                  <w:tcW w:w="0" w:type="auto"/>
                  <w:vAlign w:val="center"/>
                  <w:hideMark/>
                </w:tcPr>
                <w:p w14:paraId="60B267A1" w14:textId="77777777" w:rsidR="006C021E" w:rsidRDefault="006C021E">
                  <w:pPr>
                    <w:pStyle w:val="legend-table"/>
                    <w:rPr>
                      <w:rFonts w:ascii="Calibri" w:eastAsia="Times New Roman" w:hAnsi="Calibri" w:cs="Calibri"/>
                    </w:rPr>
                  </w:pPr>
                  <w:r>
                    <w:rPr>
                      <w:rFonts w:ascii="Calibri" w:eastAsia="Times New Roman" w:hAnsi="Calibri" w:cs="Calibri"/>
                    </w:rPr>
                    <w:t>Not assessable</w:t>
                  </w:r>
                </w:p>
              </w:tc>
            </w:tr>
          </w:tbl>
          <w:p w14:paraId="728DD8FC" w14:textId="77777777" w:rsidR="006C021E" w:rsidRDefault="006C021E">
            <w:pPr>
              <w:spacing w:after="0"/>
              <w:rPr>
                <w:rFonts w:ascii="Calibri" w:hAnsi="Calibri" w:cs="Calibri"/>
              </w:rPr>
            </w:pPr>
          </w:p>
        </w:tc>
      </w:tr>
    </w:tbl>
    <w:p w14:paraId="5304D8E1" w14:textId="77777777" w:rsidR="006C021E" w:rsidRDefault="006C021E">
      <w:pPr>
        <w:spacing w:after="0"/>
        <w:divId w:val="1258753370"/>
        <w:rPr>
          <w:rFonts w:eastAsia="Times New Roman"/>
        </w:rPr>
      </w:pPr>
    </w:p>
    <w:p w14:paraId="7C010EE5" w14:textId="77777777" w:rsidR="009678A9" w:rsidRDefault="009678A9">
      <w:r>
        <w:br w:type="page"/>
      </w:r>
    </w:p>
    <w:p w14:paraId="4FA55B41"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7FA8C" w14:textId="77777777" w:rsidR="007D1C36" w:rsidRDefault="007D1C36" w:rsidP="0091124A">
      <w:pPr>
        <w:spacing w:after="0"/>
      </w:pPr>
      <w:r>
        <w:separator/>
      </w:r>
    </w:p>
  </w:endnote>
  <w:endnote w:type="continuationSeparator" w:id="0">
    <w:p w14:paraId="5F1C999C" w14:textId="77777777" w:rsidR="007D1C36" w:rsidRDefault="007D1C36"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C42AB" w14:textId="3C1B7030" w:rsidR="002F3810" w:rsidRDefault="00532703">
    <w:pPr>
      <w:pStyle w:val="Footer"/>
    </w:pPr>
    <w:r>
      <w:rPr>
        <w:noProof/>
      </w:rPr>
      <mc:AlternateContent>
        <mc:Choice Requires="wps">
          <w:drawing>
            <wp:anchor distT="0" distB="0" distL="0" distR="0" simplePos="0" relativeHeight="251662336" behindDoc="0" locked="0" layoutInCell="1" allowOverlap="1" wp14:anchorId="03ABB284" wp14:editId="6987D23D">
              <wp:simplePos x="635" y="635"/>
              <wp:positionH relativeFrom="page">
                <wp:align>center</wp:align>
              </wp:positionH>
              <wp:positionV relativeFrom="page">
                <wp:align>bottom</wp:align>
              </wp:positionV>
              <wp:extent cx="518795" cy="345440"/>
              <wp:effectExtent l="0" t="0" r="14605" b="0"/>
              <wp:wrapNone/>
              <wp:docPr id="2155630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07BB443" w14:textId="64BF567D"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ABB284"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407BB443" w14:textId="64BF567D"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D036" w14:textId="77777777" w:rsidR="00532703" w:rsidRDefault="00532703">
    <w:pPr>
      <w:pStyle w:val="Footer"/>
      <w:jc w:val="center"/>
    </w:pPr>
    <w:r>
      <w:rPr>
        <w:noProof/>
      </w:rPr>
      <mc:AlternateContent>
        <mc:Choice Requires="wps">
          <w:drawing>
            <wp:anchor distT="0" distB="0" distL="0" distR="0" simplePos="0" relativeHeight="251663360" behindDoc="0" locked="0" layoutInCell="1" allowOverlap="1" wp14:anchorId="2DD771F1" wp14:editId="5B10B5C4">
              <wp:simplePos x="457200" y="9652000"/>
              <wp:positionH relativeFrom="page">
                <wp:align>center</wp:align>
              </wp:positionH>
              <wp:positionV relativeFrom="page">
                <wp:align>bottom</wp:align>
              </wp:positionV>
              <wp:extent cx="518795" cy="345440"/>
              <wp:effectExtent l="0" t="0" r="14605" b="0"/>
              <wp:wrapNone/>
              <wp:docPr id="1459385041"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615BFA6" w14:textId="4B661FB1"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D771F1"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4615BFA6" w14:textId="4B661FB1"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6D1D9983" w14:textId="27DAA1B8"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39724D0" w14:textId="6E930400"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974F80">
          <w:rPr>
            <w:noProof/>
            <w:color w:val="A6A6A6" w:themeColor="background1" w:themeShade="A6"/>
            <w:sz w:val="16"/>
            <w:szCs w:val="16"/>
          </w:rPr>
          <w:t>2026</w:t>
        </w:r>
        <w:r>
          <w:rPr>
            <w:color w:val="A6A6A6" w:themeColor="background1" w:themeShade="A6"/>
            <w:sz w:val="16"/>
            <w:szCs w:val="16"/>
          </w:rPr>
          <w:fldChar w:fldCharType="end"/>
        </w:r>
      </w:p>
    </w:sdtContent>
  </w:sdt>
  <w:p w14:paraId="786BFA87"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FB48B" w14:textId="41299800" w:rsidR="002F3810" w:rsidRDefault="00532703">
    <w:pPr>
      <w:pStyle w:val="Footer"/>
    </w:pPr>
    <w:r>
      <w:rPr>
        <w:noProof/>
      </w:rPr>
      <mc:AlternateContent>
        <mc:Choice Requires="wps">
          <w:drawing>
            <wp:anchor distT="0" distB="0" distL="0" distR="0" simplePos="0" relativeHeight="251661312" behindDoc="0" locked="0" layoutInCell="1" allowOverlap="1" wp14:anchorId="73B90014" wp14:editId="15F6305E">
              <wp:simplePos x="635" y="635"/>
              <wp:positionH relativeFrom="page">
                <wp:align>center</wp:align>
              </wp:positionH>
              <wp:positionV relativeFrom="page">
                <wp:align>bottom</wp:align>
              </wp:positionV>
              <wp:extent cx="518795" cy="345440"/>
              <wp:effectExtent l="0" t="0" r="14605" b="0"/>
              <wp:wrapNone/>
              <wp:docPr id="56534816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94C2C9D" w14:textId="2A5867AA"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3B90014"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694C2C9D" w14:textId="2A5867AA"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AF4AC" w14:textId="77777777" w:rsidR="007D1C36" w:rsidRDefault="007D1C36" w:rsidP="0091124A">
      <w:pPr>
        <w:spacing w:after="0"/>
      </w:pPr>
      <w:r>
        <w:separator/>
      </w:r>
    </w:p>
  </w:footnote>
  <w:footnote w:type="continuationSeparator" w:id="0">
    <w:p w14:paraId="4CC9407C" w14:textId="77777777" w:rsidR="007D1C36" w:rsidRDefault="007D1C36"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CA7C2" w14:textId="6F2FEB4D" w:rsidR="002F3810" w:rsidRDefault="00532703">
    <w:pPr>
      <w:pStyle w:val="Header"/>
    </w:pPr>
    <w:r>
      <w:rPr>
        <w:noProof/>
      </w:rPr>
      <mc:AlternateContent>
        <mc:Choice Requires="wps">
          <w:drawing>
            <wp:anchor distT="0" distB="0" distL="0" distR="0" simplePos="0" relativeHeight="251659264" behindDoc="0" locked="0" layoutInCell="1" allowOverlap="1" wp14:anchorId="1C62C909" wp14:editId="22DB3E42">
              <wp:simplePos x="635" y="635"/>
              <wp:positionH relativeFrom="page">
                <wp:align>center</wp:align>
              </wp:positionH>
              <wp:positionV relativeFrom="page">
                <wp:align>top</wp:align>
              </wp:positionV>
              <wp:extent cx="518795" cy="345440"/>
              <wp:effectExtent l="0" t="0" r="14605" b="16510"/>
              <wp:wrapNone/>
              <wp:docPr id="84217656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C085E46" w14:textId="78157E8A"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C62C909"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4C085E46" w14:textId="78157E8A"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20911D7F" w14:textId="77777777" w:rsidTr="003F426E">
      <w:tc>
        <w:tcPr>
          <w:tcW w:w="2442" w:type="pct"/>
          <w:tcBorders>
            <w:bottom w:val="single" w:sz="4" w:space="0" w:color="auto"/>
          </w:tcBorders>
        </w:tcPr>
        <w:p w14:paraId="1F05AF11" w14:textId="4D2A7455" w:rsidR="001A4FDD" w:rsidRPr="004D5782" w:rsidRDefault="00532703"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70BDC8BA" wp14:editId="52D07240">
                    <wp:simplePos x="527050" y="450850"/>
                    <wp:positionH relativeFrom="page">
                      <wp:align>center</wp:align>
                    </wp:positionH>
                    <wp:positionV relativeFrom="page">
                      <wp:align>top</wp:align>
                    </wp:positionV>
                    <wp:extent cx="518795" cy="345440"/>
                    <wp:effectExtent l="0" t="0" r="14605" b="16510"/>
                    <wp:wrapNone/>
                    <wp:docPr id="55521822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22B16FC" w14:textId="3A1D82CF"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BDC8BA"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322B16FC" w14:textId="3A1D82CF"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3819EC5A"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Strategic Projects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558D15FB"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0CB7455A" wp14:editId="6DEC51CE">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7A254668"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C1EF1" w14:textId="2ACD1CCA" w:rsidR="002F3810" w:rsidRDefault="00532703">
    <w:pPr>
      <w:pStyle w:val="Header"/>
    </w:pPr>
    <w:r>
      <w:rPr>
        <w:noProof/>
      </w:rPr>
      <mc:AlternateContent>
        <mc:Choice Requires="wps">
          <w:drawing>
            <wp:anchor distT="0" distB="0" distL="0" distR="0" simplePos="0" relativeHeight="251658240" behindDoc="0" locked="0" layoutInCell="1" allowOverlap="1" wp14:anchorId="19D62B01" wp14:editId="6F87BF92">
              <wp:simplePos x="635" y="635"/>
              <wp:positionH relativeFrom="page">
                <wp:align>center</wp:align>
              </wp:positionH>
              <wp:positionV relativeFrom="page">
                <wp:align>top</wp:align>
              </wp:positionV>
              <wp:extent cx="518795" cy="345440"/>
              <wp:effectExtent l="0" t="0" r="14605" b="16510"/>
              <wp:wrapNone/>
              <wp:docPr id="1645979302"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3ED8486" w14:textId="2A01E691"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D62B01"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63ED8486" w14:textId="2A01E691" w:rsidR="00532703" w:rsidRPr="00532703" w:rsidRDefault="00532703" w:rsidP="00532703">
                    <w:pPr>
                      <w:spacing w:after="0"/>
                      <w:rPr>
                        <w:rFonts w:ascii="Aptos" w:eastAsia="Aptos" w:hAnsi="Aptos" w:cs="Aptos"/>
                        <w:noProof/>
                        <w:color w:val="000000"/>
                        <w:sz w:val="20"/>
                        <w:szCs w:val="20"/>
                      </w:rPr>
                    </w:pPr>
                    <w:r w:rsidRPr="00532703">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7639DF"/>
    <w:multiLevelType w:val="multilevel"/>
    <w:tmpl w:val="E078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C247E5"/>
    <w:multiLevelType w:val="multilevel"/>
    <w:tmpl w:val="CBA8A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1832118">
    <w:abstractNumId w:val="1"/>
  </w:num>
  <w:num w:numId="2" w16cid:durableId="95910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366B6"/>
    <w:rsid w:val="001A4F51"/>
    <w:rsid w:val="001A4FDD"/>
    <w:rsid w:val="001B6A9A"/>
    <w:rsid w:val="001C680B"/>
    <w:rsid w:val="0027503F"/>
    <w:rsid w:val="002F3810"/>
    <w:rsid w:val="00335F4C"/>
    <w:rsid w:val="00372C10"/>
    <w:rsid w:val="00373D6A"/>
    <w:rsid w:val="003E5DD6"/>
    <w:rsid w:val="003F09C7"/>
    <w:rsid w:val="003F426E"/>
    <w:rsid w:val="00491DDC"/>
    <w:rsid w:val="004D5782"/>
    <w:rsid w:val="00532703"/>
    <w:rsid w:val="0054788A"/>
    <w:rsid w:val="00604C02"/>
    <w:rsid w:val="006251B6"/>
    <w:rsid w:val="00666A8A"/>
    <w:rsid w:val="006C021E"/>
    <w:rsid w:val="007D1419"/>
    <w:rsid w:val="007D1C36"/>
    <w:rsid w:val="0087021E"/>
    <w:rsid w:val="00896053"/>
    <w:rsid w:val="008E1D78"/>
    <w:rsid w:val="008E4BE2"/>
    <w:rsid w:val="0091124A"/>
    <w:rsid w:val="00936274"/>
    <w:rsid w:val="00941D6F"/>
    <w:rsid w:val="009678A9"/>
    <w:rsid w:val="009724A6"/>
    <w:rsid w:val="00974F80"/>
    <w:rsid w:val="00A459A0"/>
    <w:rsid w:val="00A60E80"/>
    <w:rsid w:val="00A718FA"/>
    <w:rsid w:val="00AC1998"/>
    <w:rsid w:val="00B61C92"/>
    <w:rsid w:val="00B67905"/>
    <w:rsid w:val="00BE140C"/>
    <w:rsid w:val="00C93842"/>
    <w:rsid w:val="00CA2036"/>
    <w:rsid w:val="00CC606A"/>
    <w:rsid w:val="00CC73C7"/>
    <w:rsid w:val="00CF4BE2"/>
    <w:rsid w:val="00E05B7F"/>
    <w:rsid w:val="00E94477"/>
    <w:rsid w:val="00EE1F99"/>
    <w:rsid w:val="00F534D5"/>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E479B"/>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715180">
      <w:bodyDiv w:val="1"/>
      <w:marLeft w:val="0"/>
      <w:marRight w:val="0"/>
      <w:marTop w:val="0"/>
      <w:marBottom w:val="0"/>
      <w:divBdr>
        <w:top w:val="none" w:sz="0" w:space="0" w:color="auto"/>
        <w:left w:val="none" w:sz="0" w:space="0" w:color="auto"/>
        <w:bottom w:val="none" w:sz="0" w:space="0" w:color="auto"/>
        <w:right w:val="none" w:sz="0" w:space="0" w:color="auto"/>
      </w:divBdr>
    </w:div>
    <w:div w:id="1124688646">
      <w:marLeft w:val="0"/>
      <w:marRight w:val="0"/>
      <w:marTop w:val="0"/>
      <w:marBottom w:val="0"/>
      <w:divBdr>
        <w:top w:val="none" w:sz="0" w:space="0" w:color="auto"/>
        <w:left w:val="none" w:sz="0" w:space="0" w:color="auto"/>
        <w:bottom w:val="none" w:sz="0" w:space="0" w:color="auto"/>
        <w:right w:val="none" w:sz="0" w:space="0" w:color="auto"/>
      </w:divBdr>
    </w:div>
    <w:div w:id="1386486403">
      <w:bodyDiv w:val="1"/>
      <w:marLeft w:val="0"/>
      <w:marRight w:val="0"/>
      <w:marTop w:val="0"/>
      <w:marBottom w:val="0"/>
      <w:divBdr>
        <w:top w:val="none" w:sz="0" w:space="0" w:color="auto"/>
        <w:left w:val="none" w:sz="0" w:space="0" w:color="auto"/>
        <w:bottom w:val="none" w:sz="0" w:space="0" w:color="auto"/>
        <w:right w:val="none" w:sz="0" w:space="0" w:color="auto"/>
      </w:divBdr>
      <w:divsChild>
        <w:div w:id="1258753370">
          <w:marLeft w:val="0"/>
          <w:marRight w:val="0"/>
          <w:marTop w:val="0"/>
          <w:marBottom w:val="0"/>
          <w:divBdr>
            <w:top w:val="none" w:sz="0" w:space="0" w:color="auto"/>
            <w:left w:val="none" w:sz="0" w:space="0" w:color="auto"/>
            <w:bottom w:val="none" w:sz="0" w:space="0" w:color="auto"/>
            <w:right w:val="none" w:sz="0" w:space="0" w:color="auto"/>
          </w:divBdr>
        </w:div>
      </w:divsChild>
    </w:div>
    <w:div w:id="1924726913">
      <w:marLeft w:val="0"/>
      <w:marRight w:val="0"/>
      <w:marTop w:val="0"/>
      <w:marBottom w:val="0"/>
      <w:divBdr>
        <w:top w:val="none" w:sz="0" w:space="0" w:color="auto"/>
        <w:left w:val="none" w:sz="0" w:space="0" w:color="auto"/>
        <w:bottom w:val="none" w:sz="0" w:space="0" w:color="auto"/>
        <w:right w:val="none" w:sz="0" w:space="0" w:color="auto"/>
      </w:divBdr>
      <w:divsChild>
        <w:div w:id="794376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637</Words>
  <Characters>3631</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Jason Mall</cp:lastModifiedBy>
  <cp:revision>2</cp:revision>
  <dcterms:created xsi:type="dcterms:W3CDTF">2026-07-31T12:50:00Z</dcterms:created>
  <dcterms:modified xsi:type="dcterms:W3CDTF">2026-07-31T12:50:00Z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621ba6a6,32329832,2117f535</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21b28746,148ec4c,56fc72d1</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2026-06-17T18:17:23Z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f052f7f4-545c-4682-968d-64b77eac4bac</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